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9418501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8838"/>
          </w:tblGrid>
          <w:tr w:rsidR="0052252A">
            <w:trPr>
              <w:trHeight w:val="2880"/>
              <w:jc w:val="center"/>
            </w:trPr>
            <w:sdt>
              <w:sdtPr>
                <w:rPr>
                  <w:rFonts w:asciiTheme="majorHAnsi" w:eastAsiaTheme="majorEastAsia" w:hAnsiTheme="majorHAnsi" w:cstheme="majorBidi"/>
                  <w:caps/>
                </w:rPr>
                <w:alias w:val="Organización"/>
                <w:id w:val="15524243"/>
                <w:placeholder>
                  <w:docPart w:val="68BA2F70ED2F429E8FA547B303FDAC1B"/>
                </w:placeholder>
                <w:dataBinding w:prefixMappings="xmlns:ns0='http://schemas.openxmlformats.org/officeDocument/2006/extended-properties'" w:xpath="/ns0:Properties[1]/ns0:Company[1]" w:storeItemID="{6668398D-A668-4E3E-A5EB-62B293D839F1}"/>
                <w:text/>
              </w:sdtPr>
              <w:sdtEndPr>
                <w:rPr>
                  <w:b/>
                  <w:sz w:val="44"/>
                  <w:szCs w:val="44"/>
                  <w:lang w:val="es-ES"/>
                </w:rPr>
              </w:sdtEndPr>
              <w:sdtContent>
                <w:tc>
                  <w:tcPr>
                    <w:tcW w:w="5000" w:type="pct"/>
                  </w:tcPr>
                  <w:p w:rsidR="00540217" w:rsidRPr="00EB0685" w:rsidRDefault="00CB6442" w:rsidP="00EB0685">
                    <w:pPr>
                      <w:tabs>
                        <w:tab w:val="left" w:pos="1560"/>
                      </w:tabs>
                      <w:jc w:val="center"/>
                      <w:rPr>
                        <w:rFonts w:asciiTheme="majorHAnsi" w:hAnsiTheme="majorHAnsi"/>
                        <w:sz w:val="40"/>
                        <w:szCs w:val="40"/>
                        <w:lang w:val="es-ES"/>
                      </w:rPr>
                    </w:pPr>
                    <w:r w:rsidRPr="00416EAF">
                      <w:rPr>
                        <w:rFonts w:asciiTheme="majorHAnsi" w:eastAsiaTheme="majorEastAsia" w:hAnsiTheme="majorHAnsi" w:cstheme="majorBidi"/>
                        <w:b/>
                        <w:caps/>
                        <w:sz w:val="44"/>
                        <w:szCs w:val="44"/>
                      </w:rPr>
                      <w:t>instituto politecnico nacional</w:t>
                    </w:r>
                    <w:r w:rsidR="00416EAF" w:rsidRPr="00416EAF">
                      <w:rPr>
                        <w:rFonts w:asciiTheme="majorHAnsi" w:eastAsiaTheme="majorEastAsia" w:hAnsiTheme="majorHAnsi" w:cstheme="majorBidi"/>
                        <w:b/>
                        <w:caps/>
                        <w:sz w:val="44"/>
                        <w:szCs w:val="44"/>
                      </w:rPr>
                      <w:t xml:space="preserve"> unidad profesional  interdisciplinaria  de ingeniería  y ciencias sociales administrativas</w:t>
                    </w:r>
                  </w:p>
                </w:tc>
              </w:sdtContent>
            </w:sdt>
          </w:tr>
          <w:tr w:rsidR="0052252A">
            <w:trPr>
              <w:trHeight w:val="1440"/>
              <w:jc w:val="center"/>
            </w:trPr>
            <w:sdt>
              <w:sdtPr>
                <w:rPr>
                  <w:rFonts w:asciiTheme="majorHAnsi" w:eastAsiaTheme="majorEastAsia" w:hAnsiTheme="majorHAnsi" w:cstheme="majorBidi"/>
                  <w:sz w:val="80"/>
                  <w:szCs w:val="80"/>
                </w:rPr>
                <w:alias w:val="Título"/>
                <w:id w:val="15524250"/>
                <w:placeholder>
                  <w:docPart w:val="BA21C7352DBF4350B66A6490711A834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2252A" w:rsidRDefault="00CB6442" w:rsidP="0052118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s-MX"/>
                      </w:rPr>
                      <w:t>PROPUESTA TECNOLÓGICA</w:t>
                    </w:r>
                  </w:p>
                </w:tc>
              </w:sdtContent>
            </w:sdt>
          </w:tr>
          <w:tr w:rsidR="0052252A">
            <w:trPr>
              <w:trHeight w:val="720"/>
              <w:jc w:val="center"/>
            </w:trPr>
            <w:sdt>
              <w:sdtPr>
                <w:rPr>
                  <w:rFonts w:asciiTheme="majorHAnsi" w:eastAsiaTheme="majorEastAsia" w:hAnsiTheme="majorHAnsi" w:cstheme="majorBidi"/>
                  <w:sz w:val="44"/>
                  <w:szCs w:val="44"/>
                </w:rPr>
                <w:alias w:val="Subtítulo"/>
                <w:id w:val="15524255"/>
                <w:placeholder>
                  <w:docPart w:val="4D543ADBE16B4DCABA80B443AE5A3BF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2252A" w:rsidRDefault="00CB6442" w:rsidP="0052118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s-MX"/>
                      </w:rPr>
                      <w:t>Tarea 1</w:t>
                    </w:r>
                  </w:p>
                </w:tc>
              </w:sdtContent>
            </w:sdt>
          </w:tr>
          <w:tr w:rsidR="0052252A">
            <w:trPr>
              <w:trHeight w:val="360"/>
              <w:jc w:val="center"/>
            </w:trPr>
            <w:tc>
              <w:tcPr>
                <w:tcW w:w="5000" w:type="pct"/>
                <w:vAlign w:val="center"/>
              </w:tcPr>
              <w:p w:rsidR="0052252A" w:rsidRDefault="0052252A">
                <w:pPr>
                  <w:pStyle w:val="NoSpacing"/>
                  <w:jc w:val="center"/>
                </w:pPr>
              </w:p>
            </w:tc>
          </w:tr>
          <w:tr w:rsidR="0052252A">
            <w:trPr>
              <w:trHeight w:val="360"/>
              <w:jc w:val="center"/>
            </w:trPr>
            <w:tc>
              <w:tcPr>
                <w:tcW w:w="5000" w:type="pct"/>
                <w:vAlign w:val="center"/>
              </w:tcPr>
              <w:sdt>
                <w:sdtPr>
                  <w:rPr>
                    <w:b/>
                    <w:bCs/>
                  </w:rPr>
                  <w:alias w:val="Autor"/>
                  <w:id w:val="15524260"/>
                  <w:placeholder>
                    <w:docPart w:val="52868E074222455491E773482FF973BB"/>
                  </w:placeholder>
                  <w:dataBinding w:prefixMappings="xmlns:ns0='http://schemas.openxmlformats.org/package/2006/metadata/core-properties' xmlns:ns1='http://purl.org/dc/elements/1.1/'" w:xpath="/ns0:coreProperties[1]/ns1:creator[1]" w:storeItemID="{6C3C8BC8-F283-45AE-878A-BAB7291924A1}"/>
                  <w:text/>
                </w:sdtPr>
                <w:sdtEndPr/>
                <w:sdtContent>
                  <w:p w:rsidR="0052252A" w:rsidRDefault="00CB6442">
                    <w:pPr>
                      <w:pStyle w:val="NoSpacing"/>
                      <w:jc w:val="center"/>
                      <w:rPr>
                        <w:b/>
                        <w:bCs/>
                      </w:rPr>
                    </w:pPr>
                    <w:r>
                      <w:rPr>
                        <w:b/>
                        <w:bCs/>
                        <w:lang w:val="es-MX"/>
                      </w:rPr>
                      <w:t>Fabián Ramírez Galindo</w:t>
                    </w:r>
                  </w:p>
                </w:sdtContent>
              </w:sdt>
              <w:p w:rsidR="00521183" w:rsidRDefault="00521183">
                <w:pPr>
                  <w:pStyle w:val="NoSpacing"/>
                  <w:jc w:val="center"/>
                  <w:rPr>
                    <w:b/>
                    <w:bCs/>
                  </w:rPr>
                </w:pPr>
              </w:p>
              <w:p w:rsidR="00521183" w:rsidRDefault="00521183">
                <w:pPr>
                  <w:pStyle w:val="NoSpacing"/>
                  <w:jc w:val="center"/>
                  <w:rPr>
                    <w:b/>
                    <w:bCs/>
                  </w:rPr>
                </w:pPr>
              </w:p>
            </w:tc>
          </w:tr>
          <w:tr w:rsidR="0052252A">
            <w:trPr>
              <w:trHeight w:val="360"/>
              <w:jc w:val="center"/>
            </w:trPr>
            <w:sdt>
              <w:sdtPr>
                <w:rPr>
                  <w:b/>
                  <w:bCs/>
                </w:rPr>
                <w:alias w:val="Fecha"/>
                <w:id w:val="516659546"/>
                <w:placeholder>
                  <w:docPart w:val="814D79A67DB14973804D50701D49AEF6"/>
                </w:placeholder>
                <w:dataBinding w:prefixMappings="xmlns:ns0='http://schemas.microsoft.com/office/2006/coverPageProps'" w:xpath="/ns0:CoverPageProperties[1]/ns0:PublishDate[1]" w:storeItemID="{55AF091B-3C7A-41E3-B477-F2FDAA23CFDA}"/>
                <w:date w:fullDate="2015-09-21T00:00:00Z">
                  <w:dateFormat w:val="dd/MM/yyyy"/>
                  <w:lid w:val="es-ES"/>
                  <w:storeMappedDataAs w:val="dateTime"/>
                  <w:calendar w:val="gregorian"/>
                </w:date>
              </w:sdtPr>
              <w:sdtEndPr/>
              <w:sdtContent>
                <w:tc>
                  <w:tcPr>
                    <w:tcW w:w="5000" w:type="pct"/>
                    <w:vAlign w:val="center"/>
                  </w:tcPr>
                  <w:p w:rsidR="0052252A" w:rsidRDefault="00CB6442">
                    <w:pPr>
                      <w:pStyle w:val="NoSpacing"/>
                      <w:jc w:val="center"/>
                      <w:rPr>
                        <w:b/>
                        <w:bCs/>
                      </w:rPr>
                    </w:pPr>
                    <w:r>
                      <w:rPr>
                        <w:b/>
                        <w:bCs/>
                      </w:rPr>
                      <w:t>21/09/2015</w:t>
                    </w:r>
                  </w:p>
                </w:tc>
              </w:sdtContent>
            </w:sdt>
          </w:tr>
        </w:tbl>
        <w:p w:rsidR="0052252A" w:rsidRDefault="0052252A">
          <w:pPr>
            <w:rPr>
              <w:lang w:val="es-ES"/>
            </w:rPr>
          </w:pPr>
        </w:p>
        <w:p w:rsidR="0052252A" w:rsidRDefault="0052252A">
          <w:pPr>
            <w:rPr>
              <w:lang w:val="es-ES"/>
            </w:rPr>
          </w:pPr>
        </w:p>
        <w:p w:rsidR="0052252A" w:rsidRDefault="0052252A">
          <w:pPr>
            <w:rPr>
              <w:lang w:val="es-ES"/>
            </w:rPr>
          </w:pPr>
        </w:p>
        <w:p w:rsidR="00CB6442" w:rsidRDefault="00CB6442" w:rsidP="00853AA4">
          <w:pPr>
            <w:rPr>
              <w:rFonts w:asciiTheme="majorHAnsi" w:eastAsiaTheme="majorEastAsia" w:hAnsiTheme="majorHAnsi" w:cstheme="majorBidi"/>
              <w:b/>
              <w:bCs/>
              <w:color w:val="365F91" w:themeColor="accent1" w:themeShade="BF"/>
              <w:sz w:val="28"/>
              <w:szCs w:val="28"/>
            </w:rPr>
          </w:pPr>
        </w:p>
        <w:p w:rsidR="00CB6442" w:rsidRDefault="00CB6442" w:rsidP="00853AA4">
          <w:pPr>
            <w:rPr>
              <w:rFonts w:asciiTheme="majorHAnsi" w:eastAsiaTheme="majorEastAsia" w:hAnsiTheme="majorHAnsi" w:cstheme="majorBidi"/>
              <w:b/>
              <w:bCs/>
              <w:color w:val="365F91" w:themeColor="accent1" w:themeShade="BF"/>
              <w:sz w:val="28"/>
              <w:szCs w:val="28"/>
            </w:rPr>
          </w:pPr>
        </w:p>
        <w:p w:rsidR="00CB6442" w:rsidRDefault="00CB6442" w:rsidP="00853AA4">
          <w:pPr>
            <w:rPr>
              <w:rFonts w:asciiTheme="majorHAnsi" w:eastAsiaTheme="majorEastAsia" w:hAnsiTheme="majorHAnsi" w:cstheme="majorBidi"/>
              <w:b/>
              <w:bCs/>
              <w:color w:val="365F91" w:themeColor="accent1" w:themeShade="BF"/>
              <w:sz w:val="28"/>
              <w:szCs w:val="28"/>
            </w:rPr>
          </w:pPr>
        </w:p>
        <w:p w:rsidR="00CB6442" w:rsidRDefault="00CB6442" w:rsidP="00853AA4">
          <w:pPr>
            <w:rPr>
              <w:rFonts w:asciiTheme="majorHAnsi" w:eastAsiaTheme="majorEastAsia" w:hAnsiTheme="majorHAnsi" w:cstheme="majorBidi"/>
              <w:b/>
              <w:bCs/>
              <w:color w:val="365F91" w:themeColor="accent1" w:themeShade="BF"/>
              <w:sz w:val="28"/>
              <w:szCs w:val="28"/>
            </w:rPr>
          </w:pPr>
        </w:p>
        <w:p w:rsidR="00CB6442" w:rsidRDefault="00CB6442" w:rsidP="00853AA4">
          <w:pPr>
            <w:rPr>
              <w:rFonts w:asciiTheme="majorHAnsi" w:eastAsiaTheme="majorEastAsia" w:hAnsiTheme="majorHAnsi" w:cstheme="majorBidi"/>
              <w:b/>
              <w:bCs/>
              <w:color w:val="365F91" w:themeColor="accent1" w:themeShade="BF"/>
              <w:sz w:val="28"/>
              <w:szCs w:val="28"/>
            </w:rPr>
          </w:pPr>
        </w:p>
        <w:p w:rsidR="00CB6442" w:rsidRDefault="00CB6442" w:rsidP="00853AA4">
          <w:pPr>
            <w:rPr>
              <w:rFonts w:asciiTheme="majorHAnsi" w:eastAsiaTheme="majorEastAsia" w:hAnsiTheme="majorHAnsi" w:cstheme="majorBidi"/>
              <w:b/>
              <w:bCs/>
              <w:color w:val="365F91" w:themeColor="accent1" w:themeShade="BF"/>
              <w:sz w:val="28"/>
              <w:szCs w:val="28"/>
            </w:rPr>
          </w:pPr>
        </w:p>
        <w:p w:rsidR="00521183" w:rsidRPr="00853AA4" w:rsidRDefault="00EE1E1B" w:rsidP="00853AA4">
          <w:pPr>
            <w:rPr>
              <w:rFonts w:asciiTheme="majorHAnsi" w:eastAsiaTheme="majorEastAsia" w:hAnsiTheme="majorHAnsi" w:cstheme="majorBidi"/>
              <w:b/>
              <w:bCs/>
              <w:color w:val="365F91" w:themeColor="accent1" w:themeShade="BF"/>
              <w:sz w:val="28"/>
              <w:szCs w:val="28"/>
            </w:rPr>
          </w:pPr>
        </w:p>
      </w:sdtContent>
    </w:sdt>
    <w:sdt>
      <w:sdtPr>
        <w:rPr>
          <w:rFonts w:asciiTheme="minorHAnsi" w:eastAsiaTheme="minorHAnsi" w:hAnsiTheme="minorHAnsi" w:cstheme="minorBidi"/>
          <w:b w:val="0"/>
          <w:bCs w:val="0"/>
          <w:color w:val="auto"/>
          <w:sz w:val="22"/>
          <w:szCs w:val="22"/>
          <w:lang w:val="es-MX"/>
        </w:rPr>
        <w:id w:val="94185018"/>
        <w:docPartObj>
          <w:docPartGallery w:val="Table of Contents"/>
          <w:docPartUnique/>
        </w:docPartObj>
      </w:sdtPr>
      <w:sdtEndPr/>
      <w:sdtContent>
        <w:p w:rsidR="0052252A" w:rsidRDefault="00521183">
          <w:pPr>
            <w:pStyle w:val="TOCHeading"/>
          </w:pPr>
          <w:r>
            <w:t>Índice del trabajo</w:t>
          </w:r>
        </w:p>
        <w:p w:rsidR="0052252A" w:rsidRDefault="0052252A">
          <w:pPr>
            <w:pStyle w:val="TOC1"/>
            <w:tabs>
              <w:tab w:val="right" w:leader="dot" w:pos="8828"/>
            </w:tabs>
            <w:rPr>
              <w:rFonts w:eastAsiaTheme="minorEastAsia"/>
              <w:noProof/>
              <w:lang w:eastAsia="es-MX"/>
            </w:rPr>
          </w:pPr>
          <w:r>
            <w:rPr>
              <w:lang w:val="es-ES"/>
            </w:rPr>
            <w:fldChar w:fldCharType="begin"/>
          </w:r>
          <w:r>
            <w:rPr>
              <w:lang w:val="es-ES"/>
            </w:rPr>
            <w:instrText xml:space="preserve"> TOC \o "1-3" \h \z \u </w:instrText>
          </w:r>
          <w:r>
            <w:rPr>
              <w:lang w:val="es-ES"/>
            </w:rPr>
            <w:fldChar w:fldCharType="separate"/>
          </w:r>
          <w:hyperlink w:anchor="_Toc430459570" w:history="1">
            <w:r w:rsidRPr="00E92661">
              <w:rPr>
                <w:rStyle w:val="Hyperlink"/>
                <w:noProof/>
              </w:rPr>
              <w:t>Objetivo</w:t>
            </w:r>
            <w:r>
              <w:rPr>
                <w:noProof/>
                <w:webHidden/>
              </w:rPr>
              <w:tab/>
            </w:r>
            <w:r>
              <w:rPr>
                <w:noProof/>
                <w:webHidden/>
              </w:rPr>
              <w:fldChar w:fldCharType="begin"/>
            </w:r>
            <w:r>
              <w:rPr>
                <w:noProof/>
                <w:webHidden/>
              </w:rPr>
              <w:instrText xml:space="preserve"> PAGEREF _Toc430459570 \h </w:instrText>
            </w:r>
            <w:r>
              <w:rPr>
                <w:noProof/>
                <w:webHidden/>
              </w:rPr>
            </w:r>
            <w:r>
              <w:rPr>
                <w:noProof/>
                <w:webHidden/>
              </w:rPr>
              <w:fldChar w:fldCharType="separate"/>
            </w:r>
            <w:r w:rsidR="00EE1E1B">
              <w:rPr>
                <w:noProof/>
                <w:webHidden/>
              </w:rPr>
              <w:t>2</w:t>
            </w:r>
            <w:r>
              <w:rPr>
                <w:noProof/>
                <w:webHidden/>
              </w:rPr>
              <w:fldChar w:fldCharType="end"/>
            </w:r>
          </w:hyperlink>
        </w:p>
        <w:p w:rsidR="0052252A" w:rsidRDefault="00EE1E1B">
          <w:pPr>
            <w:pStyle w:val="TOC1"/>
            <w:tabs>
              <w:tab w:val="right" w:leader="dot" w:pos="8828"/>
            </w:tabs>
            <w:rPr>
              <w:rFonts w:eastAsiaTheme="minorEastAsia"/>
              <w:noProof/>
              <w:lang w:eastAsia="es-MX"/>
            </w:rPr>
          </w:pPr>
          <w:hyperlink w:anchor="_Toc430459571" w:history="1">
            <w:r w:rsidR="0052252A" w:rsidRPr="00E92661">
              <w:rPr>
                <w:rStyle w:val="Hyperlink"/>
                <w:noProof/>
              </w:rPr>
              <w:t>Descripción del problema</w:t>
            </w:r>
            <w:r w:rsidR="0052252A">
              <w:rPr>
                <w:noProof/>
                <w:webHidden/>
              </w:rPr>
              <w:tab/>
            </w:r>
            <w:r w:rsidR="0052252A">
              <w:rPr>
                <w:noProof/>
                <w:webHidden/>
              </w:rPr>
              <w:fldChar w:fldCharType="begin"/>
            </w:r>
            <w:r w:rsidR="0052252A">
              <w:rPr>
                <w:noProof/>
                <w:webHidden/>
              </w:rPr>
              <w:instrText xml:space="preserve"> PAGEREF _Toc430459571 \h </w:instrText>
            </w:r>
            <w:r w:rsidR="0052252A">
              <w:rPr>
                <w:noProof/>
                <w:webHidden/>
              </w:rPr>
            </w:r>
            <w:r w:rsidR="0052252A">
              <w:rPr>
                <w:noProof/>
                <w:webHidden/>
              </w:rPr>
              <w:fldChar w:fldCharType="separate"/>
            </w:r>
            <w:r>
              <w:rPr>
                <w:noProof/>
                <w:webHidden/>
              </w:rPr>
              <w:t>2</w:t>
            </w:r>
            <w:r w:rsidR="0052252A">
              <w:rPr>
                <w:noProof/>
                <w:webHidden/>
              </w:rPr>
              <w:fldChar w:fldCharType="end"/>
            </w:r>
          </w:hyperlink>
        </w:p>
        <w:p w:rsidR="0052252A" w:rsidRDefault="00EE1E1B">
          <w:pPr>
            <w:pStyle w:val="TOC1"/>
            <w:tabs>
              <w:tab w:val="right" w:leader="dot" w:pos="8828"/>
            </w:tabs>
            <w:rPr>
              <w:rFonts w:eastAsiaTheme="minorEastAsia"/>
              <w:noProof/>
              <w:lang w:eastAsia="es-MX"/>
            </w:rPr>
          </w:pPr>
          <w:hyperlink w:anchor="_Toc430459572" w:history="1">
            <w:r w:rsidR="0052252A" w:rsidRPr="00E92661">
              <w:rPr>
                <w:rStyle w:val="Hyperlink"/>
                <w:noProof/>
              </w:rPr>
              <w:t>Análisis del problema</w:t>
            </w:r>
            <w:r w:rsidR="0052252A">
              <w:rPr>
                <w:noProof/>
                <w:webHidden/>
              </w:rPr>
              <w:tab/>
            </w:r>
            <w:r w:rsidR="0052252A">
              <w:rPr>
                <w:noProof/>
                <w:webHidden/>
              </w:rPr>
              <w:fldChar w:fldCharType="begin"/>
            </w:r>
            <w:r w:rsidR="0052252A">
              <w:rPr>
                <w:noProof/>
                <w:webHidden/>
              </w:rPr>
              <w:instrText xml:space="preserve"> PAGEREF _Toc430459572 \h </w:instrText>
            </w:r>
            <w:r w:rsidR="0052252A">
              <w:rPr>
                <w:noProof/>
                <w:webHidden/>
              </w:rPr>
            </w:r>
            <w:r w:rsidR="0052252A">
              <w:rPr>
                <w:noProof/>
                <w:webHidden/>
              </w:rPr>
              <w:fldChar w:fldCharType="separate"/>
            </w:r>
            <w:r>
              <w:rPr>
                <w:noProof/>
                <w:webHidden/>
              </w:rPr>
              <w:t>2</w:t>
            </w:r>
            <w:r w:rsidR="0052252A">
              <w:rPr>
                <w:noProof/>
                <w:webHidden/>
              </w:rPr>
              <w:fldChar w:fldCharType="end"/>
            </w:r>
          </w:hyperlink>
        </w:p>
        <w:p w:rsidR="0052252A" w:rsidRDefault="00EE1E1B">
          <w:pPr>
            <w:pStyle w:val="TOC1"/>
            <w:tabs>
              <w:tab w:val="right" w:leader="dot" w:pos="8828"/>
            </w:tabs>
            <w:rPr>
              <w:rFonts w:eastAsiaTheme="minorEastAsia"/>
              <w:noProof/>
              <w:lang w:eastAsia="es-MX"/>
            </w:rPr>
          </w:pPr>
          <w:hyperlink w:anchor="_Toc430459573" w:history="1">
            <w:r w:rsidR="0052252A" w:rsidRPr="00E92661">
              <w:rPr>
                <w:rStyle w:val="Hyperlink"/>
                <w:noProof/>
              </w:rPr>
              <w:t>Diseño de la solución</w:t>
            </w:r>
            <w:r w:rsidR="0052252A">
              <w:rPr>
                <w:noProof/>
                <w:webHidden/>
              </w:rPr>
              <w:tab/>
            </w:r>
            <w:r w:rsidR="0052252A">
              <w:rPr>
                <w:noProof/>
                <w:webHidden/>
              </w:rPr>
              <w:fldChar w:fldCharType="begin"/>
            </w:r>
            <w:r w:rsidR="0052252A">
              <w:rPr>
                <w:noProof/>
                <w:webHidden/>
              </w:rPr>
              <w:instrText xml:space="preserve"> PAGEREF _Toc430459573 \h </w:instrText>
            </w:r>
            <w:r w:rsidR="0052252A">
              <w:rPr>
                <w:noProof/>
                <w:webHidden/>
              </w:rPr>
            </w:r>
            <w:r w:rsidR="0052252A">
              <w:rPr>
                <w:noProof/>
                <w:webHidden/>
              </w:rPr>
              <w:fldChar w:fldCharType="separate"/>
            </w:r>
            <w:r>
              <w:rPr>
                <w:noProof/>
                <w:webHidden/>
              </w:rPr>
              <w:t>3</w:t>
            </w:r>
            <w:r w:rsidR="0052252A">
              <w:rPr>
                <w:noProof/>
                <w:webHidden/>
              </w:rPr>
              <w:fldChar w:fldCharType="end"/>
            </w:r>
          </w:hyperlink>
        </w:p>
        <w:p w:rsidR="0052252A" w:rsidRDefault="00EE1E1B">
          <w:pPr>
            <w:pStyle w:val="TOC1"/>
            <w:tabs>
              <w:tab w:val="right" w:leader="dot" w:pos="8828"/>
            </w:tabs>
            <w:rPr>
              <w:rFonts w:eastAsiaTheme="minorEastAsia"/>
              <w:noProof/>
              <w:lang w:eastAsia="es-MX"/>
            </w:rPr>
          </w:pPr>
          <w:hyperlink w:anchor="_Toc430459574" w:history="1">
            <w:r w:rsidR="0052252A" w:rsidRPr="00E92661">
              <w:rPr>
                <w:rStyle w:val="Hyperlink"/>
                <w:noProof/>
              </w:rPr>
              <w:t>Solución del problema</w:t>
            </w:r>
            <w:r w:rsidR="0052252A">
              <w:rPr>
                <w:noProof/>
                <w:webHidden/>
              </w:rPr>
              <w:tab/>
            </w:r>
            <w:r w:rsidR="0052252A">
              <w:rPr>
                <w:noProof/>
                <w:webHidden/>
              </w:rPr>
              <w:fldChar w:fldCharType="begin"/>
            </w:r>
            <w:r w:rsidR="0052252A">
              <w:rPr>
                <w:noProof/>
                <w:webHidden/>
              </w:rPr>
              <w:instrText xml:space="preserve"> PAGEREF _Toc430459574 \h </w:instrText>
            </w:r>
            <w:r w:rsidR="0052252A">
              <w:rPr>
                <w:noProof/>
                <w:webHidden/>
              </w:rPr>
            </w:r>
            <w:r w:rsidR="0052252A">
              <w:rPr>
                <w:noProof/>
                <w:webHidden/>
              </w:rPr>
              <w:fldChar w:fldCharType="separate"/>
            </w:r>
            <w:r>
              <w:rPr>
                <w:noProof/>
                <w:webHidden/>
              </w:rPr>
              <w:t>3</w:t>
            </w:r>
            <w:r w:rsidR="0052252A">
              <w:rPr>
                <w:noProof/>
                <w:webHidden/>
              </w:rPr>
              <w:fldChar w:fldCharType="end"/>
            </w:r>
          </w:hyperlink>
        </w:p>
        <w:p w:rsidR="0052252A" w:rsidRDefault="00EE1E1B">
          <w:pPr>
            <w:pStyle w:val="TOC1"/>
            <w:tabs>
              <w:tab w:val="right" w:leader="dot" w:pos="8828"/>
            </w:tabs>
            <w:rPr>
              <w:rFonts w:eastAsiaTheme="minorEastAsia"/>
              <w:noProof/>
              <w:lang w:eastAsia="es-MX"/>
            </w:rPr>
          </w:pPr>
          <w:hyperlink w:anchor="_Toc430459575" w:history="1">
            <w:r w:rsidR="0052252A" w:rsidRPr="00E92661">
              <w:rPr>
                <w:rStyle w:val="Hyperlink"/>
                <w:noProof/>
              </w:rPr>
              <w:t>Casos de prueba</w:t>
            </w:r>
            <w:r w:rsidR="0052252A">
              <w:rPr>
                <w:noProof/>
                <w:webHidden/>
              </w:rPr>
              <w:tab/>
            </w:r>
            <w:r w:rsidR="0052252A">
              <w:rPr>
                <w:noProof/>
                <w:webHidden/>
              </w:rPr>
              <w:fldChar w:fldCharType="begin"/>
            </w:r>
            <w:r w:rsidR="0052252A">
              <w:rPr>
                <w:noProof/>
                <w:webHidden/>
              </w:rPr>
              <w:instrText xml:space="preserve"> PAGEREF _Toc430459575 \h </w:instrText>
            </w:r>
            <w:r w:rsidR="0052252A">
              <w:rPr>
                <w:noProof/>
                <w:webHidden/>
              </w:rPr>
            </w:r>
            <w:r w:rsidR="0052252A">
              <w:rPr>
                <w:noProof/>
                <w:webHidden/>
              </w:rPr>
              <w:fldChar w:fldCharType="separate"/>
            </w:r>
            <w:r>
              <w:rPr>
                <w:noProof/>
                <w:webHidden/>
              </w:rPr>
              <w:t>6</w:t>
            </w:r>
            <w:r w:rsidR="0052252A">
              <w:rPr>
                <w:noProof/>
                <w:webHidden/>
              </w:rPr>
              <w:fldChar w:fldCharType="end"/>
            </w:r>
          </w:hyperlink>
        </w:p>
        <w:p w:rsidR="0052252A" w:rsidRDefault="00EE1E1B">
          <w:pPr>
            <w:pStyle w:val="TOC1"/>
            <w:tabs>
              <w:tab w:val="right" w:leader="dot" w:pos="8828"/>
            </w:tabs>
            <w:rPr>
              <w:rFonts w:eastAsiaTheme="minorEastAsia"/>
              <w:noProof/>
              <w:lang w:eastAsia="es-MX"/>
            </w:rPr>
          </w:pPr>
          <w:hyperlink w:anchor="_Toc430459576" w:history="1">
            <w:r w:rsidR="0052252A" w:rsidRPr="00E92661">
              <w:rPr>
                <w:rStyle w:val="Hyperlink"/>
                <w:noProof/>
              </w:rPr>
              <w:t>Conclusiones</w:t>
            </w:r>
            <w:r w:rsidR="0052252A">
              <w:rPr>
                <w:noProof/>
                <w:webHidden/>
              </w:rPr>
              <w:tab/>
            </w:r>
            <w:r w:rsidR="0052252A">
              <w:rPr>
                <w:noProof/>
                <w:webHidden/>
              </w:rPr>
              <w:fldChar w:fldCharType="begin"/>
            </w:r>
            <w:r w:rsidR="0052252A">
              <w:rPr>
                <w:noProof/>
                <w:webHidden/>
              </w:rPr>
              <w:instrText xml:space="preserve"> PAGEREF _Toc430459576 \h </w:instrText>
            </w:r>
            <w:r w:rsidR="0052252A">
              <w:rPr>
                <w:noProof/>
                <w:webHidden/>
              </w:rPr>
            </w:r>
            <w:r w:rsidR="0052252A">
              <w:rPr>
                <w:noProof/>
                <w:webHidden/>
              </w:rPr>
              <w:fldChar w:fldCharType="separate"/>
            </w:r>
            <w:r>
              <w:rPr>
                <w:noProof/>
                <w:webHidden/>
              </w:rPr>
              <w:t>9</w:t>
            </w:r>
            <w:r w:rsidR="0052252A">
              <w:rPr>
                <w:noProof/>
                <w:webHidden/>
              </w:rPr>
              <w:fldChar w:fldCharType="end"/>
            </w:r>
          </w:hyperlink>
        </w:p>
        <w:p w:rsidR="0052252A" w:rsidRDefault="00EE1E1B">
          <w:pPr>
            <w:pStyle w:val="TOC1"/>
            <w:tabs>
              <w:tab w:val="right" w:leader="dot" w:pos="8828"/>
            </w:tabs>
            <w:rPr>
              <w:rFonts w:eastAsiaTheme="minorEastAsia"/>
              <w:noProof/>
              <w:lang w:eastAsia="es-MX"/>
            </w:rPr>
          </w:pPr>
          <w:hyperlink w:anchor="_Toc430459577" w:history="1">
            <w:r w:rsidR="0052252A" w:rsidRPr="00E92661">
              <w:rPr>
                <w:rStyle w:val="Hyperlink"/>
                <w:noProof/>
              </w:rPr>
              <w:t>Bibliografía</w:t>
            </w:r>
            <w:r w:rsidR="0052252A">
              <w:rPr>
                <w:noProof/>
                <w:webHidden/>
              </w:rPr>
              <w:tab/>
            </w:r>
            <w:r w:rsidR="0052252A">
              <w:rPr>
                <w:noProof/>
                <w:webHidden/>
              </w:rPr>
              <w:fldChar w:fldCharType="begin"/>
            </w:r>
            <w:r w:rsidR="0052252A">
              <w:rPr>
                <w:noProof/>
                <w:webHidden/>
              </w:rPr>
              <w:instrText xml:space="preserve"> PAGEREF _Toc430459577 \h </w:instrText>
            </w:r>
            <w:r w:rsidR="0052252A">
              <w:rPr>
                <w:noProof/>
                <w:webHidden/>
              </w:rPr>
            </w:r>
            <w:r w:rsidR="0052252A">
              <w:rPr>
                <w:noProof/>
                <w:webHidden/>
              </w:rPr>
              <w:fldChar w:fldCharType="separate"/>
            </w:r>
            <w:r>
              <w:rPr>
                <w:noProof/>
                <w:webHidden/>
              </w:rPr>
              <w:t>9</w:t>
            </w:r>
            <w:r w:rsidR="0052252A">
              <w:rPr>
                <w:noProof/>
                <w:webHidden/>
              </w:rPr>
              <w:fldChar w:fldCharType="end"/>
            </w:r>
          </w:hyperlink>
        </w:p>
        <w:p w:rsidR="00521183" w:rsidRPr="00E531A7" w:rsidRDefault="0052252A" w:rsidP="00E531A7">
          <w:pPr>
            <w:rPr>
              <w:lang w:val="es-ES"/>
            </w:rPr>
          </w:pPr>
          <w:r>
            <w:rPr>
              <w:lang w:val="es-ES"/>
            </w:rPr>
            <w:fldChar w:fldCharType="end"/>
          </w:r>
        </w:p>
      </w:sdtContent>
    </w:sdt>
    <w:bookmarkStart w:id="0" w:name="_Toc430459570" w:displacedByCustomXml="prev"/>
    <w:p w:rsidR="00E531A7" w:rsidRDefault="00E531A7" w:rsidP="00E93C11">
      <w:pPr>
        <w:pStyle w:val="Heading1"/>
      </w:pPr>
    </w:p>
    <w:p w:rsidR="009F7E9F" w:rsidRDefault="009F7E9F" w:rsidP="00E93C11">
      <w:pPr>
        <w:pStyle w:val="Heading1"/>
      </w:pPr>
      <w:r w:rsidRPr="009F7E9F">
        <w:t>Objetivo</w:t>
      </w:r>
      <w:bookmarkEnd w:id="0"/>
    </w:p>
    <w:p w:rsidR="00AC5AD2" w:rsidRDefault="00E531A7" w:rsidP="0052252A">
      <w:pPr>
        <w:rPr>
          <w:b/>
          <w:bCs/>
        </w:rPr>
      </w:pPr>
      <w:r>
        <w:t xml:space="preserve">Realizar una </w:t>
      </w:r>
      <w:r w:rsidR="00AC5AD2" w:rsidRPr="00AC5AD2">
        <w:t>propuesta de actualización tecnológica</w:t>
      </w:r>
      <w:r>
        <w:t xml:space="preserve"> de cómputo en la nube</w:t>
      </w:r>
      <w:r w:rsidR="00AC5AD2" w:rsidRPr="00AC5AD2">
        <w:t xml:space="preserve">. </w:t>
      </w:r>
    </w:p>
    <w:p w:rsidR="00117DFE" w:rsidRDefault="009F7E9F" w:rsidP="003E1D6E">
      <w:pPr>
        <w:pStyle w:val="Heading1"/>
      </w:pPr>
      <w:bookmarkStart w:id="1" w:name="_Toc430459571"/>
      <w:r w:rsidRPr="009F7E9F">
        <w:t>Descripción del problema</w:t>
      </w:r>
      <w:bookmarkEnd w:id="1"/>
    </w:p>
    <w:p w:rsidR="00E93C11" w:rsidRPr="009F7E9F" w:rsidRDefault="003E1D6E" w:rsidP="00EE1E1B">
      <w:pPr>
        <w:jc w:val="both"/>
      </w:pPr>
      <w:r>
        <w:t>Realizar</w:t>
      </w:r>
      <w:r w:rsidR="00117DFE">
        <w:t xml:space="preserve"> un estudio y recomendación de </w:t>
      </w:r>
      <w:r w:rsidR="00AC5AD2">
        <w:t>cómo</w:t>
      </w:r>
      <w:r>
        <w:t xml:space="preserve"> está siendo vista la</w:t>
      </w:r>
      <w:r w:rsidR="00117DFE">
        <w:t xml:space="preserve"> tecnología </w:t>
      </w:r>
      <w:r w:rsidR="00A137BF">
        <w:t xml:space="preserve"> de có</w:t>
      </w:r>
      <w:r>
        <w:t xml:space="preserve">mputo en la nube (Cloud Computing) </w:t>
      </w:r>
      <w:r w:rsidR="00117DFE">
        <w:t xml:space="preserve">y su proyección para el siguiente lustro de posibles proveedores de calidad mundial.” </w:t>
      </w:r>
      <w:r>
        <w:t xml:space="preserve">Utilizando </w:t>
      </w:r>
      <w:r w:rsidR="00117DFE">
        <w:t xml:space="preserve">reportes de </w:t>
      </w:r>
      <w:proofErr w:type="spellStart"/>
      <w:r w:rsidR="00117DFE">
        <w:t>Gartner</w:t>
      </w:r>
      <w:proofErr w:type="spellEnd"/>
      <w:r w:rsidR="00117DFE">
        <w:t>.</w:t>
      </w:r>
    </w:p>
    <w:p w:rsidR="00C453CE" w:rsidRDefault="009F7E9F" w:rsidP="00EE1E1B">
      <w:pPr>
        <w:pStyle w:val="Heading1"/>
      </w:pPr>
      <w:bookmarkStart w:id="2" w:name="_Toc430459572"/>
      <w:r>
        <w:t>Análisis del problema</w:t>
      </w:r>
      <w:bookmarkEnd w:id="2"/>
    </w:p>
    <w:p w:rsidR="001D33E7" w:rsidRDefault="00C453CE" w:rsidP="00EE1E1B">
      <w:pPr>
        <w:jc w:val="both"/>
      </w:pPr>
      <w:r>
        <w:t>Las organizaciones destinan recursos materiales, humanos y tecnológicos  agrupados en un área encargada de solucionar los problemas relaciona con la infraestructura  informática</w:t>
      </w:r>
      <w:r w:rsidR="00E93C11">
        <w:t xml:space="preserve"> </w:t>
      </w:r>
      <w:r>
        <w:t>y el desarrollo de aplicaciones para la</w:t>
      </w:r>
      <w:r w:rsidR="001D33E7">
        <w:t>s empresa</w:t>
      </w:r>
      <w:r>
        <w:t>. Esta área es responsable de implementar, configurar</w:t>
      </w:r>
      <w:r w:rsidR="001D33E7">
        <w:t>, dar mantenimiento a la infraestructura de la organización. Las tareas mencionadas anteriormente no suponen un valor añadido  en el balance final de la producción.</w:t>
      </w:r>
    </w:p>
    <w:p w:rsidR="001D33E7" w:rsidRDefault="001D33E7" w:rsidP="00EE1E1B">
      <w:pPr>
        <w:jc w:val="both"/>
      </w:pPr>
      <w:r>
        <w:t>Por otro lado  se tiene que considerar servicios como: la energía eléctrica, agua potable y telefonía que son necesarios para el buen funcionamiento de las organi</w:t>
      </w:r>
      <w:r w:rsidR="002627A0">
        <w:t>zaciones. El pago de estos servicios debe ser absorbido por el proveedor mientras que el cliente final solo está realizando el pago por el producto acordado.</w:t>
      </w:r>
      <w:r>
        <w:t xml:space="preserve"> </w:t>
      </w:r>
    </w:p>
    <w:p w:rsidR="00E93C11" w:rsidRDefault="00E93C11"/>
    <w:p w:rsidR="009F7E9F" w:rsidRDefault="009F7E9F" w:rsidP="00EE1E1B">
      <w:pPr>
        <w:pStyle w:val="Heading1"/>
      </w:pPr>
      <w:bookmarkStart w:id="3" w:name="_Toc430459573"/>
      <w:r>
        <w:t>Diseño de la solución</w:t>
      </w:r>
      <w:bookmarkEnd w:id="3"/>
    </w:p>
    <w:p w:rsidR="00F04F72" w:rsidRDefault="002627A0" w:rsidP="00EE1E1B">
      <w:pPr>
        <w:jc w:val="both"/>
      </w:pPr>
      <w:r>
        <w:t>Con  base al análisis del problema realizado en la sección anterior surge la siguiente pregunta.  ¿Por qué no implementar un esquema de servicios en el cual el proveedor p</w:t>
      </w:r>
      <w:r w:rsidR="00F04F72">
        <w:t>roporcione únicamente el producto acordado</w:t>
      </w:r>
      <w:r>
        <w:t>?</w:t>
      </w:r>
      <w:r w:rsidR="00F04F72">
        <w:t xml:space="preserve"> Si esto ocurriera, el usuario no tendría que preocuparse por adquirir la infraestructura necesaria, como equipo de cómputo, actualizar las aplicaciones o el sistema operativo, todo esto sería responsabilidad del proveedor.</w:t>
      </w:r>
    </w:p>
    <w:p w:rsidR="00F04F72" w:rsidRDefault="00117DFE" w:rsidP="00EE1E1B">
      <w:pPr>
        <w:jc w:val="both"/>
      </w:pPr>
      <w:r>
        <w:t>Por lo expuesto anteriormente las organizaciones están  dirigiendo sus miradas hacia la tecnología conocida como cómputo en la nube (</w:t>
      </w:r>
      <w:proofErr w:type="spellStart"/>
      <w:r>
        <w:t>cloud</w:t>
      </w:r>
      <w:proofErr w:type="spellEnd"/>
      <w:r>
        <w:t xml:space="preserve"> </w:t>
      </w:r>
      <w:proofErr w:type="spellStart"/>
      <w:r>
        <w:t>computing</w:t>
      </w:r>
      <w:proofErr w:type="spellEnd"/>
      <w:r>
        <w:t>),  el cómputo en la nube  ofrece servicios de computo a través de internet, en este contexto nube es un sinónimo de internet. Los tipos de servicio que se pueden proporcionar a través de  la nube son: memoria, almacenamiento, procesamiento, software, base de datos, etc.</w:t>
      </w:r>
    </w:p>
    <w:p w:rsidR="002317C8" w:rsidRDefault="002317C8"/>
    <w:p w:rsidR="002317C8" w:rsidRDefault="002317C8"/>
    <w:p w:rsidR="00E93C11" w:rsidRDefault="009F7E9F" w:rsidP="00EE1E1B">
      <w:pPr>
        <w:pStyle w:val="Heading1"/>
      </w:pPr>
      <w:bookmarkStart w:id="4" w:name="_Toc430459574"/>
      <w:r>
        <w:t>Solución del problema</w:t>
      </w:r>
      <w:bookmarkEnd w:id="4"/>
    </w:p>
    <w:p w:rsidR="002B3ED7" w:rsidRDefault="002B3ED7" w:rsidP="00EE1E1B">
      <w:pPr>
        <w:jc w:val="both"/>
      </w:pPr>
      <w:r>
        <w:t xml:space="preserve">EL mercado de cómputo en la nube aún se encuentra en una etapa de maduración, por tal razón se debe escoger a los proveedores cuidadosamente. </w:t>
      </w:r>
    </w:p>
    <w:p w:rsidR="002B3ED7" w:rsidRDefault="00486AD0" w:rsidP="00EE1E1B">
      <w:pPr>
        <w:jc w:val="both"/>
      </w:pPr>
      <w:r>
        <w:t xml:space="preserve">Uno de los segmentos que cubre </w:t>
      </w:r>
      <w:proofErr w:type="spellStart"/>
      <w:r>
        <w:t>cloud</w:t>
      </w:r>
      <w:proofErr w:type="spellEnd"/>
      <w:r>
        <w:t xml:space="preserve"> </w:t>
      </w:r>
      <w:proofErr w:type="spellStart"/>
      <w:r>
        <w:t>computing</w:t>
      </w:r>
      <w:proofErr w:type="spellEnd"/>
      <w:r>
        <w:t xml:space="preserve"> es la infraestructura y centro de datos como un servicio, las siglas para este servicio es (</w:t>
      </w:r>
      <w:proofErr w:type="spellStart"/>
      <w:r>
        <w:t>Iaas</w:t>
      </w:r>
      <w:proofErr w:type="spellEnd"/>
      <w:r>
        <w:t>), este es el segmento más amplio del mercado el cual también incluye el almacenamiento en la nube. El cómputo en la nube abarca otros segmentos como son: proveedores de almacenamiento en la nube (</w:t>
      </w:r>
      <w:proofErr w:type="spellStart"/>
      <w:r>
        <w:t>PaaS</w:t>
      </w:r>
      <w:proofErr w:type="spellEnd"/>
      <w:r>
        <w:t xml:space="preserve">),  </w:t>
      </w:r>
      <w:r w:rsidR="006604E4">
        <w:t>proveedores</w:t>
      </w:r>
      <w:r>
        <w:t xml:space="preserve"> de software como un servicio (</w:t>
      </w:r>
      <w:proofErr w:type="spellStart"/>
      <w:r>
        <w:t>SaaA</w:t>
      </w:r>
      <w:proofErr w:type="spellEnd"/>
      <w:r>
        <w:t xml:space="preserve">). En este caso nos centraremos en el segmento </w:t>
      </w:r>
      <w:proofErr w:type="spellStart"/>
      <w:r>
        <w:t>IaaS</w:t>
      </w:r>
      <w:proofErr w:type="spellEnd"/>
      <w:r>
        <w:t>.</w:t>
      </w:r>
    </w:p>
    <w:p w:rsidR="002B3ED7" w:rsidRDefault="007D7213" w:rsidP="00CA6378">
      <w:r w:rsidRPr="007D7213">
        <w:t xml:space="preserve">A continuación </w:t>
      </w:r>
      <w:r>
        <w:t xml:space="preserve">mostraremos  los proveedores que ofrecen el mejor servicio, este análisis lo realizaremos utilizando los reportes de </w:t>
      </w:r>
      <w:proofErr w:type="spellStart"/>
      <w:r w:rsidR="00CA6378">
        <w:t>Gartner</w:t>
      </w:r>
      <w:proofErr w:type="spellEnd"/>
      <w:r>
        <w:t xml:space="preserve">. </w:t>
      </w:r>
      <w:r w:rsidR="00CA6378">
        <w:t xml:space="preserve">Como primer paso listaremos los servicios que ofrecen los proveedores involucrados en el reporte de </w:t>
      </w:r>
      <w:proofErr w:type="spellStart"/>
      <w:r w:rsidR="00CA6378">
        <w:t>Gartner</w:t>
      </w:r>
      <w:proofErr w:type="spellEnd"/>
      <w:r w:rsidR="00CA6378">
        <w:t>.</w:t>
      </w:r>
    </w:p>
    <w:p w:rsidR="00CA6378" w:rsidRDefault="00CA6378" w:rsidP="00CA6378">
      <w:pPr>
        <w:pStyle w:val="ListParagraph"/>
        <w:numPr>
          <w:ilvl w:val="0"/>
          <w:numId w:val="2"/>
        </w:numPr>
      </w:pPr>
      <w:r>
        <w:t xml:space="preserve">Todos los </w:t>
      </w:r>
      <w:r w:rsidR="00140DE6">
        <w:t>proveedores</w:t>
      </w:r>
      <w:r>
        <w:t xml:space="preserve"> ofrecen una  nube </w:t>
      </w:r>
      <w:proofErr w:type="spellStart"/>
      <w:r>
        <w:t>IasS</w:t>
      </w:r>
      <w:proofErr w:type="spellEnd"/>
      <w:r>
        <w:t xml:space="preserve"> </w:t>
      </w:r>
      <w:r w:rsidR="00140DE6">
        <w:t xml:space="preserve">pública, así como nubes </w:t>
      </w:r>
      <w:proofErr w:type="spellStart"/>
      <w:r w:rsidR="00140DE6">
        <w:t>IaaS</w:t>
      </w:r>
      <w:proofErr w:type="spellEnd"/>
      <w:r w:rsidR="00140DE6">
        <w:t xml:space="preserve"> privadas.</w:t>
      </w:r>
    </w:p>
    <w:p w:rsidR="00140DE6" w:rsidRDefault="00140DE6" w:rsidP="00CA6378">
      <w:pPr>
        <w:pStyle w:val="ListParagraph"/>
        <w:numPr>
          <w:ilvl w:val="0"/>
          <w:numId w:val="2"/>
        </w:numPr>
      </w:pPr>
      <w:r>
        <w:t>La mayoría de los proveedores ofrecen una infraestructura redundante con el fin de mantener el servicio disponible tan alto como un 99.99%.</w:t>
      </w:r>
    </w:p>
    <w:p w:rsidR="00140DE6" w:rsidRDefault="00140DE6" w:rsidP="00CA6378">
      <w:pPr>
        <w:pStyle w:val="ListParagraph"/>
        <w:numPr>
          <w:ilvl w:val="0"/>
          <w:numId w:val="2"/>
        </w:numPr>
      </w:pPr>
      <w:r>
        <w:t xml:space="preserve">Algunos proveedores ofrecen almacenamiento en capas con opciones de unidades de estado </w:t>
      </w:r>
      <w:r w:rsidR="008C15DD">
        <w:t>sólido</w:t>
      </w:r>
      <w:r>
        <w:t>.</w:t>
      </w:r>
    </w:p>
    <w:p w:rsidR="008C15DD" w:rsidRDefault="008C15DD" w:rsidP="008C15DD">
      <w:pPr>
        <w:pStyle w:val="ListParagraph"/>
        <w:numPr>
          <w:ilvl w:val="0"/>
          <w:numId w:val="2"/>
        </w:numPr>
      </w:pPr>
      <w:r>
        <w:t>Muchos proveedores ofrecen niveles de servicio  de disponibilidad de red, rendimiento, capacidad de respuesta de servicio al cliente.</w:t>
      </w:r>
    </w:p>
    <w:p w:rsidR="008C15DD" w:rsidRDefault="008C15DD" w:rsidP="008C15DD">
      <w:pPr>
        <w:pStyle w:val="ListParagraph"/>
        <w:numPr>
          <w:ilvl w:val="0"/>
          <w:numId w:val="2"/>
        </w:numPr>
      </w:pPr>
      <w:r>
        <w:t>Algunos proveedores ofrecen  soluciones de recuperación de desastres.</w:t>
      </w:r>
    </w:p>
    <w:p w:rsidR="008C15DD" w:rsidRDefault="008C15DD" w:rsidP="008C15DD">
      <w:pPr>
        <w:pStyle w:val="ListParagraph"/>
        <w:numPr>
          <w:ilvl w:val="0"/>
          <w:numId w:val="2"/>
        </w:numPr>
      </w:pPr>
      <w:r>
        <w:t xml:space="preserve">Algunos proveedores ofrecen un servicio configurable de máquinas virtuales respecto a características como son: memoria RAM, almacenamiento, número de </w:t>
      </w:r>
      <w:proofErr w:type="spellStart"/>
      <w:r>
        <w:t>CPU’s</w:t>
      </w:r>
      <w:proofErr w:type="spellEnd"/>
      <w:r>
        <w:t>.</w:t>
      </w:r>
    </w:p>
    <w:p w:rsidR="008C15DD" w:rsidRDefault="008C15DD" w:rsidP="008C15DD">
      <w:pPr>
        <w:pStyle w:val="ListParagraph"/>
        <w:numPr>
          <w:ilvl w:val="0"/>
          <w:numId w:val="2"/>
        </w:numPr>
      </w:pPr>
      <w:r>
        <w:t>La mayoría de los proveedores ofrecen un servicio de ajuste de tamaño de las máquinas virtuales sin necesidad de reiniciar el sistema.</w:t>
      </w:r>
    </w:p>
    <w:p w:rsidR="008C15DD" w:rsidRDefault="008C15DD" w:rsidP="008C15DD">
      <w:pPr>
        <w:pStyle w:val="ListParagraph"/>
        <w:numPr>
          <w:ilvl w:val="0"/>
          <w:numId w:val="2"/>
        </w:numPr>
      </w:pPr>
      <w:r>
        <w:t xml:space="preserve">Algunos proveedores ofrecen </w:t>
      </w:r>
      <w:r w:rsidR="004540C5">
        <w:t xml:space="preserve">servicios de una máquina virtual por cliente. Este servicio es más caro que el servicio de máquinas virtuales compartidas. </w:t>
      </w:r>
    </w:p>
    <w:p w:rsidR="004540C5" w:rsidRDefault="004540C5" w:rsidP="008C15DD">
      <w:pPr>
        <w:pStyle w:val="ListParagraph"/>
        <w:numPr>
          <w:ilvl w:val="0"/>
          <w:numId w:val="2"/>
        </w:numPr>
      </w:pPr>
      <w:r>
        <w:t xml:space="preserve">Algunos proveedores ofrecen almacenamiento temporal compartido, es decir existe solo durante el tiempo de vida de la máquina virtual. </w:t>
      </w:r>
    </w:p>
    <w:p w:rsidR="004540C5" w:rsidRDefault="004540C5" w:rsidP="008C15DD">
      <w:pPr>
        <w:pStyle w:val="ListParagraph"/>
        <w:numPr>
          <w:ilvl w:val="0"/>
          <w:numId w:val="2"/>
        </w:numPr>
      </w:pPr>
      <w:r>
        <w:t>Todos los proveedores ofrecen almacenamiento basada en objetos.</w:t>
      </w:r>
    </w:p>
    <w:p w:rsidR="004540C5" w:rsidRDefault="004540C5" w:rsidP="008C15DD">
      <w:pPr>
        <w:pStyle w:val="ListParagraph"/>
        <w:numPr>
          <w:ilvl w:val="0"/>
          <w:numId w:val="2"/>
        </w:numPr>
      </w:pPr>
      <w:r>
        <w:t>Todos los proveedores tienen un WAN privada que conecta sus centros de datos.</w:t>
      </w:r>
    </w:p>
    <w:p w:rsidR="004540C5" w:rsidRDefault="004540C5" w:rsidP="008C15DD">
      <w:pPr>
        <w:pStyle w:val="ListParagraph"/>
        <w:numPr>
          <w:ilvl w:val="0"/>
          <w:numId w:val="2"/>
        </w:numPr>
      </w:pPr>
      <w:r>
        <w:t xml:space="preserve">La mayoría de los proveedores ofrecen un servicio de </w:t>
      </w:r>
      <w:proofErr w:type="spellStart"/>
      <w:r>
        <w:t>direcciónes</w:t>
      </w:r>
      <w:proofErr w:type="spellEnd"/>
      <w:r>
        <w:t xml:space="preserve"> únicas </w:t>
      </w:r>
      <w:proofErr w:type="spellStart"/>
      <w:r>
        <w:t>IP’s</w:t>
      </w:r>
      <w:proofErr w:type="spellEnd"/>
      <w:r>
        <w:t xml:space="preserve"> configurables.</w:t>
      </w:r>
    </w:p>
    <w:p w:rsidR="004540C5" w:rsidRDefault="004540C5" w:rsidP="008C15DD">
      <w:pPr>
        <w:pStyle w:val="ListParagraph"/>
        <w:numPr>
          <w:ilvl w:val="0"/>
          <w:numId w:val="2"/>
        </w:numPr>
      </w:pPr>
      <w:r>
        <w:t>Todos los proveedores ofrecen un alto nivel de seguridad</w:t>
      </w:r>
    </w:p>
    <w:p w:rsidR="004540C5" w:rsidRDefault="004540C5" w:rsidP="008C15DD">
      <w:pPr>
        <w:pStyle w:val="ListParagraph"/>
        <w:numPr>
          <w:ilvl w:val="0"/>
          <w:numId w:val="2"/>
        </w:numPr>
      </w:pPr>
      <w:r>
        <w:t xml:space="preserve">Todos los </w:t>
      </w:r>
      <w:proofErr w:type="spellStart"/>
      <w:r>
        <w:t>proeveedores</w:t>
      </w:r>
      <w:proofErr w:type="spellEnd"/>
      <w:r>
        <w:t xml:space="preserve"> ofrecen un firewall, mientas que solo algunos ofrecen solo listas de control de acceso.</w:t>
      </w:r>
    </w:p>
    <w:p w:rsidR="00035C0B" w:rsidRDefault="004540C5" w:rsidP="008C15DD">
      <w:pPr>
        <w:pStyle w:val="ListParagraph"/>
        <w:numPr>
          <w:ilvl w:val="0"/>
          <w:numId w:val="2"/>
        </w:numPr>
      </w:pPr>
      <w:r>
        <w:t xml:space="preserve">Todos los proveedores ofrecen </w:t>
      </w:r>
      <w:r w:rsidR="00035C0B">
        <w:t xml:space="preserve"> una capacidad de autoservicio para crear topologías de redes complejas.</w:t>
      </w:r>
    </w:p>
    <w:p w:rsidR="00035C0B" w:rsidRDefault="00035C0B" w:rsidP="008C15DD">
      <w:pPr>
        <w:pStyle w:val="ListParagraph"/>
        <w:numPr>
          <w:ilvl w:val="0"/>
          <w:numId w:val="2"/>
        </w:numPr>
      </w:pPr>
      <w:r>
        <w:t>Todos los proveedores ofrecen a os clientes administrar sus propias imágenes de máquinas virtuales.</w:t>
      </w:r>
    </w:p>
    <w:p w:rsidR="004540C5" w:rsidRPr="007D7213" w:rsidRDefault="00035C0B" w:rsidP="008C15DD">
      <w:pPr>
        <w:pStyle w:val="ListParagraph"/>
        <w:numPr>
          <w:ilvl w:val="0"/>
          <w:numId w:val="2"/>
        </w:numPr>
      </w:pPr>
      <w:r>
        <w:t xml:space="preserve">Todos los proveedores ofrecen un autoservicio de balanceo de carga </w:t>
      </w:r>
      <w:r w:rsidR="004540C5">
        <w:t xml:space="preserve"> </w:t>
      </w:r>
      <w:r>
        <w:t xml:space="preserve">a nivel de vista </w:t>
      </w:r>
      <w:proofErr w:type="spellStart"/>
      <w:r>
        <w:t>front-end</w:t>
      </w:r>
      <w:proofErr w:type="spellEnd"/>
      <w:r>
        <w:t xml:space="preserve"> y back-</w:t>
      </w:r>
      <w:proofErr w:type="spellStart"/>
      <w:r>
        <w:t>end</w:t>
      </w:r>
      <w:proofErr w:type="spellEnd"/>
      <w:r>
        <w:t>.</w:t>
      </w:r>
    </w:p>
    <w:p w:rsidR="002B3ED7" w:rsidRDefault="002B3ED7" w:rsidP="002B3ED7"/>
    <w:p w:rsidR="00035C0B" w:rsidRDefault="00EE1E1B" w:rsidP="002B3ED7">
      <w:r>
        <w:t>M</w:t>
      </w:r>
      <w:r w:rsidR="00035C0B">
        <w:t>ostraremos la información de las ofertas de nube pública  de las empresas más significativas en el siguiente formato.</w:t>
      </w:r>
    </w:p>
    <w:p w:rsidR="00035C0B" w:rsidRDefault="00035C0B" w:rsidP="002B3ED7">
      <w:r w:rsidRPr="009C2C8A">
        <w:rPr>
          <w:b/>
        </w:rPr>
        <w:t>Localizaciones</w:t>
      </w:r>
      <w:r>
        <w:t>:</w:t>
      </w:r>
      <w:r w:rsidR="009C2C8A">
        <w:t xml:space="preserve"> Ubicaciones de los centros de datos por país, idiomas que la empresa desarrolla e idiomas del apoyo técnico que la empresa proporciona.</w:t>
      </w:r>
    </w:p>
    <w:p w:rsidR="009C2C8A" w:rsidRDefault="00BC1FCC" w:rsidP="002B3ED7">
      <w:r>
        <w:rPr>
          <w:b/>
        </w:rPr>
        <w:t>Notas de c</w:t>
      </w:r>
      <w:r w:rsidR="009C2C8A" w:rsidRPr="009C2C8A">
        <w:rPr>
          <w:b/>
        </w:rPr>
        <w:t>ompu</w:t>
      </w:r>
      <w:r>
        <w:rPr>
          <w:b/>
        </w:rPr>
        <w:t xml:space="preserve">tación, almacenamiento, redes y </w:t>
      </w:r>
      <w:r w:rsidR="009C2C8A" w:rsidRPr="009C2C8A">
        <w:rPr>
          <w:b/>
        </w:rPr>
        <w:t>seguridad</w:t>
      </w:r>
      <w:r w:rsidR="009C2C8A" w:rsidRPr="009C2C8A">
        <w:t>:</w:t>
      </w:r>
      <w:r>
        <w:t xml:space="preserve"> Notas sobre funcionalidad básica faltante o características importantes con respecto a la funcionalidad estándar mencionada anteriormente.</w:t>
      </w:r>
    </w:p>
    <w:p w:rsidR="00BC1FCC" w:rsidRDefault="00BC1FCC" w:rsidP="002B3ED7">
      <w:r w:rsidRPr="00BC1FCC">
        <w:rPr>
          <w:b/>
        </w:rPr>
        <w:t>Otras notas</w:t>
      </w:r>
      <w:r>
        <w:t xml:space="preserve">: Servicios adicionales faltantes que no se mencionan en el reporte de </w:t>
      </w:r>
      <w:proofErr w:type="spellStart"/>
      <w:r>
        <w:t>Gartner</w:t>
      </w:r>
      <w:proofErr w:type="spellEnd"/>
      <w:r>
        <w:t>.</w:t>
      </w:r>
    </w:p>
    <w:p w:rsidR="00BC1FCC" w:rsidRDefault="00BC1FCC" w:rsidP="002B3ED7">
      <w:r w:rsidRPr="00C47C90">
        <w:rPr>
          <w:b/>
        </w:rPr>
        <w:t>Usos recomendados</w:t>
      </w:r>
      <w:r>
        <w:t>:</w:t>
      </w:r>
      <w:r w:rsidR="006D3E51">
        <w:t xml:space="preserve"> Para cada proveedor se ofrecerá recomendaciones de uso como son:</w:t>
      </w:r>
    </w:p>
    <w:p w:rsidR="006D3E51" w:rsidRDefault="006D3E51" w:rsidP="006D3E51">
      <w:pPr>
        <w:pStyle w:val="ListParagraph"/>
        <w:numPr>
          <w:ilvl w:val="0"/>
          <w:numId w:val="3"/>
        </w:numPr>
      </w:pPr>
      <w:r>
        <w:t>Aplicaciones nativas de la nube.</w:t>
      </w:r>
    </w:p>
    <w:p w:rsidR="006D3E51" w:rsidRDefault="006D3E51" w:rsidP="006D3E51">
      <w:pPr>
        <w:pStyle w:val="ListParagraph"/>
        <w:numPr>
          <w:ilvl w:val="0"/>
          <w:numId w:val="3"/>
        </w:numPr>
      </w:pPr>
      <w:r>
        <w:t>Alojamiento de sitios de negocio.</w:t>
      </w:r>
    </w:p>
    <w:p w:rsidR="006D3E51" w:rsidRDefault="006D3E51" w:rsidP="006D3E51">
      <w:pPr>
        <w:pStyle w:val="ListParagraph"/>
        <w:numPr>
          <w:ilvl w:val="0"/>
          <w:numId w:val="3"/>
        </w:numPr>
      </w:pPr>
      <w:r>
        <w:t>Aplicaciones generales de negocio.</w:t>
      </w:r>
    </w:p>
    <w:p w:rsidR="006D3E51" w:rsidRDefault="006D3E51" w:rsidP="006D3E51">
      <w:pPr>
        <w:pStyle w:val="ListParagraph"/>
        <w:numPr>
          <w:ilvl w:val="0"/>
          <w:numId w:val="3"/>
        </w:numPr>
      </w:pPr>
      <w:r>
        <w:t>Aplicaciones empresariales.</w:t>
      </w:r>
    </w:p>
    <w:p w:rsidR="006D3E51" w:rsidRDefault="006D3E51" w:rsidP="006D3E51">
      <w:pPr>
        <w:pStyle w:val="ListParagraph"/>
        <w:numPr>
          <w:ilvl w:val="0"/>
          <w:numId w:val="3"/>
        </w:numPr>
      </w:pPr>
      <w:r>
        <w:t>Ambientes de desarrollo</w:t>
      </w:r>
    </w:p>
    <w:p w:rsidR="006D3E51" w:rsidRDefault="006D3E51" w:rsidP="006D3E51">
      <w:pPr>
        <w:pStyle w:val="ListParagraph"/>
        <w:numPr>
          <w:ilvl w:val="0"/>
          <w:numId w:val="3"/>
        </w:numPr>
      </w:pPr>
      <w:r>
        <w:t xml:space="preserve">Aplicaciones </w:t>
      </w:r>
      <w:proofErr w:type="spellStart"/>
      <w:r>
        <w:t>batch</w:t>
      </w:r>
      <w:proofErr w:type="spellEnd"/>
    </w:p>
    <w:p w:rsidR="00372B29" w:rsidRPr="007B389B" w:rsidRDefault="00372B29" w:rsidP="004D19AE"/>
    <w:p w:rsidR="002317C8" w:rsidRPr="007B389B" w:rsidRDefault="00EE1E1B">
      <w:r>
        <w:t>E</w:t>
      </w:r>
      <w:r w:rsidR="001E401F">
        <w:t>xplicaremos</w:t>
      </w:r>
      <w:r w:rsidR="00F23405">
        <w:t xml:space="preserve"> la </w:t>
      </w:r>
      <w:r w:rsidR="001E401F">
        <w:t>gráfica</w:t>
      </w:r>
      <w:r w:rsidR="00F23405">
        <w:t xml:space="preserve"> de ciclos de nacimiento y adopción tecnológica</w:t>
      </w:r>
      <w:r w:rsidR="001E401F">
        <w:t xml:space="preserve"> </w:t>
      </w:r>
      <w:r w:rsidR="00F23405">
        <w:t>(</w:t>
      </w:r>
      <w:proofErr w:type="spellStart"/>
      <w:r w:rsidR="00F23405" w:rsidRPr="00F23405">
        <w:t>Gartner</w:t>
      </w:r>
      <w:proofErr w:type="spellEnd"/>
      <w:r w:rsidR="00F23405" w:rsidRPr="00F23405">
        <w:t xml:space="preserve"> </w:t>
      </w:r>
      <w:proofErr w:type="spellStart"/>
      <w:r w:rsidR="00F23405" w:rsidRPr="00F23405">
        <w:t>Hype</w:t>
      </w:r>
      <w:proofErr w:type="spellEnd"/>
      <w:r w:rsidR="00F23405" w:rsidRPr="00F23405">
        <w:t xml:space="preserve"> </w:t>
      </w:r>
      <w:proofErr w:type="spellStart"/>
      <w:r w:rsidR="00F23405" w:rsidRPr="00F23405">
        <w:t>Cycle</w:t>
      </w:r>
      <w:proofErr w:type="spellEnd"/>
      <w:r w:rsidR="00F23405" w:rsidRPr="00F23405">
        <w:t>)</w:t>
      </w:r>
      <w:r w:rsidR="00F23405">
        <w:t xml:space="preserve">. </w:t>
      </w:r>
      <w:r w:rsidR="00496FEA" w:rsidRPr="007B389B">
        <w:t>L</w:t>
      </w:r>
      <w:r w:rsidR="00954825" w:rsidRPr="007B389B">
        <w:t xml:space="preserve">as </w:t>
      </w:r>
      <w:r w:rsidR="00496FEA" w:rsidRPr="007B389B">
        <w:t xml:space="preserve"> cinco </w:t>
      </w:r>
      <w:r w:rsidR="00954825" w:rsidRPr="007B389B">
        <w:t xml:space="preserve">fases </w:t>
      </w:r>
      <w:r w:rsidR="00496FEA" w:rsidRPr="007B389B">
        <w:t>que se representan en este ciclo son:</w:t>
      </w:r>
    </w:p>
    <w:p w:rsidR="00496FEA" w:rsidRPr="007B389B" w:rsidRDefault="00E40460" w:rsidP="00E40460">
      <w:pPr>
        <w:pStyle w:val="ListParagraph"/>
        <w:numPr>
          <w:ilvl w:val="0"/>
          <w:numId w:val="1"/>
        </w:numPr>
      </w:pPr>
      <w:proofErr w:type="spellStart"/>
      <w:r w:rsidRPr="007B389B">
        <w:rPr>
          <w:b/>
        </w:rPr>
        <w:t>Technology</w:t>
      </w:r>
      <w:proofErr w:type="spellEnd"/>
      <w:r w:rsidRPr="007B389B">
        <w:rPr>
          <w:b/>
        </w:rPr>
        <w:t xml:space="preserve"> </w:t>
      </w:r>
      <w:proofErr w:type="spellStart"/>
      <w:r w:rsidRPr="007B389B">
        <w:rPr>
          <w:b/>
        </w:rPr>
        <w:t>trigger</w:t>
      </w:r>
      <w:proofErr w:type="spellEnd"/>
      <w:r w:rsidRPr="007B389B">
        <w:t xml:space="preserve">: Es la fase en la que se está conceptualizando la tecnología. Pueden existir prototipos  pero no hay productos funcionales o estudios de mercado. Es una fase en la que se produce interés. </w:t>
      </w:r>
    </w:p>
    <w:p w:rsidR="00E40460" w:rsidRPr="007B389B" w:rsidRDefault="00E40460" w:rsidP="00496FEA">
      <w:pPr>
        <w:pStyle w:val="NormalWeb"/>
        <w:numPr>
          <w:ilvl w:val="0"/>
          <w:numId w:val="1"/>
        </w:numPr>
        <w:shd w:val="clear" w:color="auto" w:fill="FFFFFF"/>
        <w:spacing w:before="0" w:beforeAutospacing="0" w:after="182" w:afterAutospacing="0" w:line="364" w:lineRule="atLeast"/>
        <w:jc w:val="both"/>
        <w:rPr>
          <w:rFonts w:asciiTheme="minorHAnsi" w:eastAsiaTheme="minorHAnsi" w:hAnsiTheme="minorHAnsi" w:cstheme="minorBidi"/>
          <w:sz w:val="22"/>
          <w:szCs w:val="22"/>
          <w:lang w:eastAsia="en-US"/>
        </w:rPr>
      </w:pPr>
      <w:proofErr w:type="spellStart"/>
      <w:r w:rsidRPr="007B389B">
        <w:rPr>
          <w:rFonts w:asciiTheme="minorHAnsi" w:eastAsiaTheme="minorHAnsi" w:hAnsiTheme="minorHAnsi" w:cstheme="minorBidi"/>
          <w:b/>
          <w:sz w:val="22"/>
          <w:szCs w:val="22"/>
          <w:lang w:eastAsia="en-US"/>
        </w:rPr>
        <w:t>Peak</w:t>
      </w:r>
      <w:proofErr w:type="spellEnd"/>
      <w:r w:rsidRPr="007B389B">
        <w:rPr>
          <w:rFonts w:asciiTheme="minorHAnsi" w:eastAsiaTheme="minorHAnsi" w:hAnsiTheme="minorHAnsi" w:cstheme="minorBidi"/>
          <w:b/>
          <w:sz w:val="22"/>
          <w:szCs w:val="22"/>
          <w:lang w:eastAsia="en-US"/>
        </w:rPr>
        <w:t xml:space="preserve"> of </w:t>
      </w:r>
      <w:proofErr w:type="spellStart"/>
      <w:r w:rsidRPr="007B389B">
        <w:rPr>
          <w:rFonts w:asciiTheme="minorHAnsi" w:eastAsiaTheme="minorHAnsi" w:hAnsiTheme="minorHAnsi" w:cstheme="minorBidi"/>
          <w:b/>
          <w:sz w:val="22"/>
          <w:szCs w:val="22"/>
          <w:lang w:eastAsia="en-US"/>
        </w:rPr>
        <w:t>Inflated</w:t>
      </w:r>
      <w:proofErr w:type="spellEnd"/>
      <w:r w:rsidRPr="007B389B">
        <w:rPr>
          <w:rFonts w:asciiTheme="minorHAnsi" w:eastAsiaTheme="minorHAnsi" w:hAnsiTheme="minorHAnsi" w:cstheme="minorBidi"/>
          <w:b/>
          <w:sz w:val="22"/>
          <w:szCs w:val="22"/>
          <w:lang w:eastAsia="en-US"/>
        </w:rPr>
        <w:t xml:space="preserve"> </w:t>
      </w:r>
      <w:proofErr w:type="spellStart"/>
      <w:r w:rsidRPr="007B389B">
        <w:rPr>
          <w:rFonts w:asciiTheme="minorHAnsi" w:eastAsiaTheme="minorHAnsi" w:hAnsiTheme="minorHAnsi" w:cstheme="minorBidi"/>
          <w:b/>
          <w:sz w:val="22"/>
          <w:szCs w:val="22"/>
          <w:lang w:eastAsia="en-US"/>
        </w:rPr>
        <w:t>Expectations</w:t>
      </w:r>
      <w:proofErr w:type="spellEnd"/>
      <w:r w:rsidRPr="007B389B">
        <w:rPr>
          <w:rFonts w:asciiTheme="minorHAnsi" w:eastAsiaTheme="minorHAnsi" w:hAnsiTheme="minorHAnsi" w:cstheme="minorBidi"/>
          <w:sz w:val="22"/>
          <w:szCs w:val="22"/>
          <w:lang w:eastAsia="en-US"/>
        </w:rPr>
        <w:t>: Como su nombre lo indica esta fase es un pico de expectativas infladas. En esta fase se genera una gran cantidad de literatura que no muestra la realidad de la tecnología.</w:t>
      </w:r>
    </w:p>
    <w:p w:rsidR="00E40460" w:rsidRPr="007B389B" w:rsidRDefault="00E40460" w:rsidP="00496FEA">
      <w:pPr>
        <w:pStyle w:val="NormalWeb"/>
        <w:numPr>
          <w:ilvl w:val="0"/>
          <w:numId w:val="1"/>
        </w:numPr>
        <w:shd w:val="clear" w:color="auto" w:fill="FFFFFF"/>
        <w:spacing w:before="0" w:beforeAutospacing="0" w:after="182" w:afterAutospacing="0" w:line="364" w:lineRule="atLeast"/>
        <w:jc w:val="both"/>
        <w:rPr>
          <w:rFonts w:asciiTheme="minorHAnsi" w:eastAsiaTheme="minorHAnsi" w:hAnsiTheme="minorHAnsi" w:cstheme="minorBidi"/>
          <w:sz w:val="22"/>
          <w:szCs w:val="22"/>
          <w:lang w:eastAsia="en-US"/>
        </w:rPr>
      </w:pPr>
      <w:proofErr w:type="spellStart"/>
      <w:r w:rsidRPr="007B389B">
        <w:rPr>
          <w:rFonts w:asciiTheme="minorHAnsi" w:eastAsiaTheme="minorHAnsi" w:hAnsiTheme="minorHAnsi" w:cstheme="minorBidi"/>
          <w:b/>
          <w:sz w:val="22"/>
          <w:szCs w:val="22"/>
          <w:lang w:eastAsia="en-US"/>
        </w:rPr>
        <w:t>Trough</w:t>
      </w:r>
      <w:proofErr w:type="spellEnd"/>
      <w:r w:rsidRPr="007B389B">
        <w:rPr>
          <w:rFonts w:asciiTheme="minorHAnsi" w:eastAsiaTheme="minorHAnsi" w:hAnsiTheme="minorHAnsi" w:cstheme="minorBidi"/>
          <w:b/>
          <w:sz w:val="22"/>
          <w:szCs w:val="22"/>
          <w:lang w:eastAsia="en-US"/>
        </w:rPr>
        <w:t xml:space="preserve"> of </w:t>
      </w:r>
      <w:proofErr w:type="spellStart"/>
      <w:r w:rsidRPr="007B389B">
        <w:rPr>
          <w:rFonts w:asciiTheme="minorHAnsi" w:eastAsiaTheme="minorHAnsi" w:hAnsiTheme="minorHAnsi" w:cstheme="minorBidi"/>
          <w:b/>
          <w:sz w:val="22"/>
          <w:szCs w:val="22"/>
          <w:lang w:eastAsia="en-US"/>
        </w:rPr>
        <w:t>Disillusionment</w:t>
      </w:r>
      <w:proofErr w:type="spellEnd"/>
      <w:r w:rsidRPr="007B389B">
        <w:rPr>
          <w:rFonts w:asciiTheme="minorHAnsi" w:eastAsiaTheme="minorHAnsi" w:hAnsiTheme="minorHAnsi" w:cstheme="minorBidi"/>
          <w:sz w:val="22"/>
          <w:szCs w:val="22"/>
          <w:lang w:eastAsia="en-US"/>
        </w:rPr>
        <w:t>:</w:t>
      </w:r>
      <w:r w:rsidR="007B389B" w:rsidRPr="007B389B">
        <w:rPr>
          <w:rFonts w:asciiTheme="minorHAnsi" w:eastAsiaTheme="minorHAnsi" w:hAnsiTheme="minorHAnsi" w:cstheme="minorBidi"/>
          <w:sz w:val="22"/>
          <w:szCs w:val="22"/>
          <w:lang w:eastAsia="en-US"/>
        </w:rPr>
        <w:t xml:space="preserve"> </w:t>
      </w:r>
      <w:r w:rsidR="00931952" w:rsidRPr="007B389B">
        <w:rPr>
          <w:rFonts w:asciiTheme="minorHAnsi" w:eastAsiaTheme="minorHAnsi" w:hAnsiTheme="minorHAnsi" w:cstheme="minorBidi"/>
          <w:sz w:val="22"/>
          <w:szCs w:val="22"/>
          <w:lang w:eastAsia="en-US"/>
        </w:rPr>
        <w:t>Después</w:t>
      </w:r>
      <w:r w:rsidRPr="007B389B">
        <w:rPr>
          <w:rFonts w:asciiTheme="minorHAnsi" w:eastAsiaTheme="minorHAnsi" w:hAnsiTheme="minorHAnsi" w:cstheme="minorBidi"/>
          <w:sz w:val="22"/>
          <w:szCs w:val="22"/>
          <w:lang w:eastAsia="en-US"/>
        </w:rPr>
        <w:t xml:space="preserve"> de tantas expectativas generadas la tecnología entra en una fase de desilusión. Se comienzan a evidenciar sus fallas, los medios dejan de hablar de esta tecnología.</w:t>
      </w:r>
    </w:p>
    <w:p w:rsidR="00496FEA" w:rsidRPr="007B389B" w:rsidRDefault="007B389B" w:rsidP="00496FEA">
      <w:pPr>
        <w:pStyle w:val="NormalWeb"/>
        <w:numPr>
          <w:ilvl w:val="0"/>
          <w:numId w:val="1"/>
        </w:numPr>
        <w:shd w:val="clear" w:color="auto" w:fill="FFFFFF"/>
        <w:spacing w:before="0" w:beforeAutospacing="0" w:after="182" w:afterAutospacing="0" w:line="364" w:lineRule="atLeast"/>
        <w:jc w:val="both"/>
        <w:rPr>
          <w:rFonts w:asciiTheme="minorHAnsi" w:eastAsiaTheme="minorHAnsi" w:hAnsiTheme="minorHAnsi" w:cstheme="minorBidi"/>
          <w:sz w:val="22"/>
          <w:szCs w:val="22"/>
          <w:lang w:eastAsia="en-US"/>
        </w:rPr>
      </w:pPr>
      <w:proofErr w:type="spellStart"/>
      <w:r w:rsidRPr="007B389B">
        <w:rPr>
          <w:rFonts w:asciiTheme="minorHAnsi" w:eastAsiaTheme="minorHAnsi" w:hAnsiTheme="minorHAnsi" w:cstheme="minorBidi"/>
          <w:b/>
          <w:sz w:val="22"/>
          <w:szCs w:val="22"/>
          <w:lang w:eastAsia="en-US"/>
        </w:rPr>
        <w:t>Slope</w:t>
      </w:r>
      <w:proofErr w:type="spellEnd"/>
      <w:r w:rsidRPr="007B389B">
        <w:rPr>
          <w:rFonts w:asciiTheme="minorHAnsi" w:eastAsiaTheme="minorHAnsi" w:hAnsiTheme="minorHAnsi" w:cstheme="minorBidi"/>
          <w:b/>
          <w:sz w:val="22"/>
          <w:szCs w:val="22"/>
          <w:lang w:eastAsia="en-US"/>
        </w:rPr>
        <w:t xml:space="preserve"> of </w:t>
      </w:r>
      <w:proofErr w:type="spellStart"/>
      <w:r w:rsidRPr="007B389B">
        <w:rPr>
          <w:rFonts w:asciiTheme="minorHAnsi" w:eastAsiaTheme="minorHAnsi" w:hAnsiTheme="minorHAnsi" w:cstheme="minorBidi"/>
          <w:b/>
          <w:sz w:val="22"/>
          <w:szCs w:val="22"/>
          <w:lang w:eastAsia="en-US"/>
        </w:rPr>
        <w:t>Enlightenment</w:t>
      </w:r>
      <w:proofErr w:type="spellEnd"/>
      <w:r w:rsidRPr="007B389B">
        <w:rPr>
          <w:rFonts w:asciiTheme="minorHAnsi" w:eastAsiaTheme="minorHAnsi" w:hAnsiTheme="minorHAnsi" w:cstheme="minorBidi"/>
          <w:sz w:val="22"/>
          <w:szCs w:val="22"/>
          <w:lang w:eastAsia="en-US"/>
        </w:rPr>
        <w:t>: En esta fase las empresas empiezan a confiar en la tecnología y  empiezan a desarrollar, implementar o a probar sus productos.</w:t>
      </w:r>
    </w:p>
    <w:p w:rsidR="007B389B" w:rsidRPr="007B389B" w:rsidRDefault="007B389B" w:rsidP="00496FEA">
      <w:pPr>
        <w:pStyle w:val="NormalWeb"/>
        <w:numPr>
          <w:ilvl w:val="0"/>
          <w:numId w:val="1"/>
        </w:numPr>
        <w:shd w:val="clear" w:color="auto" w:fill="FFFFFF"/>
        <w:spacing w:before="0" w:beforeAutospacing="0" w:after="182" w:afterAutospacing="0" w:line="364" w:lineRule="atLeast"/>
        <w:jc w:val="both"/>
        <w:rPr>
          <w:rFonts w:asciiTheme="minorHAnsi" w:eastAsiaTheme="minorHAnsi" w:hAnsiTheme="minorHAnsi" w:cstheme="minorBidi"/>
          <w:sz w:val="22"/>
          <w:szCs w:val="22"/>
          <w:lang w:eastAsia="en-US"/>
        </w:rPr>
      </w:pPr>
      <w:proofErr w:type="spellStart"/>
      <w:r w:rsidRPr="007B389B">
        <w:rPr>
          <w:rFonts w:asciiTheme="minorHAnsi" w:eastAsiaTheme="minorHAnsi" w:hAnsiTheme="minorHAnsi" w:cstheme="minorBidi"/>
          <w:b/>
          <w:sz w:val="22"/>
          <w:szCs w:val="22"/>
          <w:lang w:eastAsia="en-US"/>
        </w:rPr>
        <w:t>Plateau</w:t>
      </w:r>
      <w:proofErr w:type="spellEnd"/>
      <w:r w:rsidRPr="007B389B">
        <w:rPr>
          <w:rFonts w:asciiTheme="minorHAnsi" w:eastAsiaTheme="minorHAnsi" w:hAnsiTheme="minorHAnsi" w:cstheme="minorBidi"/>
          <w:b/>
          <w:sz w:val="22"/>
          <w:szCs w:val="22"/>
          <w:lang w:eastAsia="en-US"/>
        </w:rPr>
        <w:t xml:space="preserve"> of </w:t>
      </w:r>
      <w:proofErr w:type="spellStart"/>
      <w:r w:rsidRPr="007B389B">
        <w:rPr>
          <w:rFonts w:asciiTheme="minorHAnsi" w:eastAsiaTheme="minorHAnsi" w:hAnsiTheme="minorHAnsi" w:cstheme="minorBidi"/>
          <w:b/>
          <w:sz w:val="22"/>
          <w:szCs w:val="22"/>
          <w:lang w:eastAsia="en-US"/>
        </w:rPr>
        <w:t>Productivity</w:t>
      </w:r>
      <w:proofErr w:type="spellEnd"/>
      <w:r w:rsidRPr="007B389B">
        <w:rPr>
          <w:rFonts w:asciiTheme="minorHAnsi" w:eastAsiaTheme="minorHAnsi" w:hAnsiTheme="minorHAnsi" w:cstheme="minorBidi"/>
          <w:sz w:val="22"/>
          <w:szCs w:val="22"/>
          <w:lang w:eastAsia="en-US"/>
        </w:rPr>
        <w:t>: Esta es la fase final, en la cual ya son visibles sus beneficios, la tecnología está cada vez más estable y se expande hacia nuevos nichos de mercado.</w:t>
      </w:r>
    </w:p>
    <w:p w:rsidR="00F31029" w:rsidRDefault="00F31029"/>
    <w:p w:rsidR="00F31029" w:rsidRDefault="00F31029">
      <w:r>
        <w:rPr>
          <w:noProof/>
          <w:lang w:eastAsia="es-MX"/>
        </w:rPr>
        <w:drawing>
          <wp:inline distT="0" distB="0" distL="0" distR="0">
            <wp:extent cx="4988619" cy="3240000"/>
            <wp:effectExtent l="19050" t="0" r="2481" b="0"/>
            <wp:docPr id="9" name="Imagen 9" descr="Gartner's curve on technology hyp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rtner's curve on technology hype cycle."/>
                    <pic:cNvPicPr>
                      <a:picLocks noChangeAspect="1" noChangeArrowheads="1"/>
                    </pic:cNvPicPr>
                  </pic:nvPicPr>
                  <pic:blipFill>
                    <a:blip r:embed="rId9" cstate="print"/>
                    <a:srcRect/>
                    <a:stretch>
                      <a:fillRect/>
                    </a:stretch>
                  </pic:blipFill>
                  <pic:spPr bwMode="auto">
                    <a:xfrm>
                      <a:off x="0" y="0"/>
                      <a:ext cx="4988619" cy="3240000"/>
                    </a:xfrm>
                    <a:prstGeom prst="rect">
                      <a:avLst/>
                    </a:prstGeom>
                    <a:noFill/>
                    <a:ln w="9525">
                      <a:noFill/>
                      <a:miter lim="800000"/>
                      <a:headEnd/>
                      <a:tailEnd/>
                    </a:ln>
                  </pic:spPr>
                </pic:pic>
              </a:graphicData>
            </a:graphic>
          </wp:inline>
        </w:drawing>
      </w:r>
    </w:p>
    <w:p w:rsidR="002317C8" w:rsidRDefault="002317C8"/>
    <w:p w:rsidR="009F7E9F" w:rsidRDefault="009F7E9F" w:rsidP="00E93C11">
      <w:pPr>
        <w:pStyle w:val="Heading1"/>
      </w:pPr>
      <w:bookmarkStart w:id="5" w:name="_Toc430459575"/>
      <w:r>
        <w:t>Casos de prueba</w:t>
      </w:r>
      <w:bookmarkEnd w:id="5"/>
    </w:p>
    <w:p w:rsidR="001E401F" w:rsidRDefault="001E401F" w:rsidP="001E401F">
      <w:r>
        <w:t xml:space="preserve">En este caso nos centraremos en las 2 empresas por segmento más significativas, en el segmento de los lideres mencionaremos a Amazon y </w:t>
      </w:r>
      <w:proofErr w:type="spellStart"/>
      <w:r>
        <w:t>microsoft</w:t>
      </w:r>
      <w:proofErr w:type="spellEnd"/>
      <w:r>
        <w:t xml:space="preserve">. En el segmento de los visionarios </w:t>
      </w:r>
      <w:proofErr w:type="spellStart"/>
      <w:r>
        <w:t>centurylink</w:t>
      </w:r>
      <w:proofErr w:type="spellEnd"/>
      <w:r>
        <w:t xml:space="preserve"> y google.</w:t>
      </w:r>
    </w:p>
    <w:p w:rsidR="001E401F" w:rsidRPr="007D7213" w:rsidRDefault="001E401F" w:rsidP="001E401F">
      <w:r>
        <w:rPr>
          <w:noProof/>
          <w:lang w:eastAsia="es-MX"/>
        </w:rPr>
        <w:drawing>
          <wp:inline distT="0" distB="0" distL="0" distR="0" wp14:anchorId="4A8CD60B" wp14:editId="17FC391E">
            <wp:extent cx="4676466" cy="4680000"/>
            <wp:effectExtent l="19050" t="0" r="0" b="0"/>
            <wp:docPr id="12" name="Imagen 12" descr="Cloud Computing Magic Quadrant 2015; fuente Gartne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oud Computing Magic Quadrant 2015; fuente Gartner, Inc."/>
                    <pic:cNvPicPr>
                      <a:picLocks noChangeAspect="1" noChangeArrowheads="1"/>
                    </pic:cNvPicPr>
                  </pic:nvPicPr>
                  <pic:blipFill>
                    <a:blip r:embed="rId10" cstate="print"/>
                    <a:srcRect/>
                    <a:stretch>
                      <a:fillRect/>
                    </a:stretch>
                  </pic:blipFill>
                  <pic:spPr bwMode="auto">
                    <a:xfrm>
                      <a:off x="0" y="0"/>
                      <a:ext cx="4676466" cy="4680000"/>
                    </a:xfrm>
                    <a:prstGeom prst="rect">
                      <a:avLst/>
                    </a:prstGeom>
                    <a:noFill/>
                    <a:ln w="9525">
                      <a:noFill/>
                      <a:miter lim="800000"/>
                      <a:headEnd/>
                      <a:tailEnd/>
                    </a:ln>
                  </pic:spPr>
                </pic:pic>
              </a:graphicData>
            </a:graphic>
          </wp:inline>
        </w:drawing>
      </w:r>
    </w:p>
    <w:p w:rsidR="001E401F" w:rsidRDefault="001E401F" w:rsidP="001E401F"/>
    <w:p w:rsidR="001E401F" w:rsidRPr="00EA4C6A" w:rsidRDefault="001E401F" w:rsidP="001E401F">
      <w:pPr>
        <w:pStyle w:val="NormalWeb"/>
        <w:shd w:val="clear" w:color="auto" w:fill="FFFFFF"/>
        <w:spacing w:before="0" w:beforeAutospacing="0" w:after="182" w:afterAutospacing="0" w:line="364" w:lineRule="atLeast"/>
        <w:jc w:val="both"/>
        <w:rPr>
          <w:rFonts w:asciiTheme="minorHAnsi" w:eastAsiaTheme="minorHAnsi" w:hAnsiTheme="minorHAnsi" w:cstheme="minorBidi"/>
          <w:b/>
          <w:sz w:val="22"/>
          <w:szCs w:val="22"/>
          <w:lang w:eastAsia="en-US"/>
        </w:rPr>
      </w:pPr>
      <w:proofErr w:type="spellStart"/>
      <w:r w:rsidRPr="00EA4C6A">
        <w:rPr>
          <w:rFonts w:asciiTheme="minorHAnsi" w:eastAsiaTheme="minorHAnsi" w:hAnsiTheme="minorHAnsi" w:cstheme="minorBidi"/>
          <w:b/>
          <w:sz w:val="22"/>
          <w:szCs w:val="22"/>
          <w:lang w:eastAsia="en-US"/>
        </w:rPr>
        <w:t>CenturyLink</w:t>
      </w:r>
      <w:proofErr w:type="spellEnd"/>
    </w:p>
    <w:p w:rsidR="001E401F" w:rsidRPr="006D68C3" w:rsidRDefault="001E401F" w:rsidP="00EE1E1B">
      <w:pPr>
        <w:pStyle w:val="NormalWeb"/>
        <w:shd w:val="clear" w:color="auto" w:fill="FFFFFF"/>
        <w:spacing w:after="182" w:line="364" w:lineRule="atLeast"/>
        <w:jc w:val="both"/>
        <w:rPr>
          <w:rFonts w:asciiTheme="minorHAnsi" w:eastAsiaTheme="minorHAnsi" w:hAnsiTheme="minorHAnsi" w:cstheme="minorBidi"/>
          <w:sz w:val="22"/>
          <w:szCs w:val="22"/>
          <w:lang w:eastAsia="en-US"/>
        </w:rPr>
      </w:pPr>
      <w:proofErr w:type="spellStart"/>
      <w:r w:rsidRPr="006D68C3">
        <w:rPr>
          <w:rFonts w:asciiTheme="minorHAnsi" w:eastAsiaTheme="minorHAnsi" w:hAnsiTheme="minorHAnsi" w:cstheme="minorBidi"/>
          <w:sz w:val="22"/>
          <w:szCs w:val="22"/>
          <w:lang w:eastAsia="en-US"/>
        </w:rPr>
        <w:t>CenturyLink</w:t>
      </w:r>
      <w:proofErr w:type="spellEnd"/>
      <w:r w:rsidRPr="006D68C3">
        <w:rPr>
          <w:rFonts w:asciiTheme="minorHAnsi" w:eastAsiaTheme="minorHAnsi" w:hAnsiTheme="minorHAnsi" w:cstheme="minorBidi"/>
          <w:sz w:val="22"/>
          <w:szCs w:val="22"/>
          <w:lang w:eastAsia="en-US"/>
        </w:rPr>
        <w:t xml:space="preserve"> adquirió </w:t>
      </w:r>
      <w:proofErr w:type="spellStart"/>
      <w:r w:rsidRPr="006D68C3">
        <w:rPr>
          <w:rFonts w:asciiTheme="minorHAnsi" w:eastAsiaTheme="minorHAnsi" w:hAnsiTheme="minorHAnsi" w:cstheme="minorBidi"/>
          <w:sz w:val="22"/>
          <w:szCs w:val="22"/>
          <w:lang w:eastAsia="en-US"/>
        </w:rPr>
        <w:t>Savvis</w:t>
      </w:r>
      <w:proofErr w:type="spellEnd"/>
      <w:r w:rsidRPr="006D68C3">
        <w:rPr>
          <w:rFonts w:asciiTheme="minorHAnsi" w:eastAsiaTheme="minorHAnsi" w:hAnsiTheme="minorHAnsi" w:cstheme="minorBidi"/>
          <w:sz w:val="22"/>
          <w:szCs w:val="22"/>
          <w:lang w:eastAsia="en-US"/>
        </w:rPr>
        <w:t xml:space="preserve">, un proveedor de alojamiento web con un largo historial de liderazgo en el mercado de alojamiento, en 2011. Cuenta con un amplio conjunto de ofertas, incluyendo colocación, hosting gestionado, centro de datos de </w:t>
      </w:r>
      <w:proofErr w:type="spellStart"/>
      <w:r w:rsidRPr="006D68C3">
        <w:rPr>
          <w:rFonts w:asciiTheme="minorHAnsi" w:eastAsiaTheme="minorHAnsi" w:hAnsiTheme="minorHAnsi" w:cstheme="minorBidi"/>
          <w:sz w:val="22"/>
          <w:szCs w:val="22"/>
          <w:lang w:eastAsia="en-US"/>
        </w:rPr>
        <w:t>outsourcing</w:t>
      </w:r>
      <w:proofErr w:type="spellEnd"/>
      <w:r w:rsidRPr="006D68C3">
        <w:rPr>
          <w:rFonts w:asciiTheme="minorHAnsi" w:eastAsiaTheme="minorHAnsi" w:hAnsiTheme="minorHAnsi" w:cstheme="minorBidi"/>
          <w:sz w:val="22"/>
          <w:szCs w:val="22"/>
          <w:lang w:eastAsia="en-US"/>
        </w:rPr>
        <w:t xml:space="preserve">, y </w:t>
      </w:r>
      <w:proofErr w:type="spellStart"/>
      <w:r w:rsidRPr="006D68C3">
        <w:rPr>
          <w:rFonts w:asciiTheme="minorHAnsi" w:eastAsiaTheme="minorHAnsi" w:hAnsiTheme="minorHAnsi" w:cstheme="minorBidi"/>
          <w:sz w:val="22"/>
          <w:szCs w:val="22"/>
          <w:lang w:eastAsia="en-US"/>
        </w:rPr>
        <w:t>PaaS</w:t>
      </w:r>
      <w:proofErr w:type="spellEnd"/>
      <w:r w:rsidRPr="006D68C3">
        <w:rPr>
          <w:rFonts w:asciiTheme="minorHAnsi" w:eastAsiaTheme="minorHAnsi" w:hAnsiTheme="minorHAnsi" w:cstheme="minorBidi"/>
          <w:sz w:val="22"/>
          <w:szCs w:val="22"/>
          <w:lang w:eastAsia="en-US"/>
        </w:rPr>
        <w:t xml:space="preserve">. Su nube pública </w:t>
      </w:r>
      <w:proofErr w:type="spellStart"/>
      <w:r w:rsidRPr="006D68C3">
        <w:rPr>
          <w:rFonts w:asciiTheme="minorHAnsi" w:eastAsiaTheme="minorHAnsi" w:hAnsiTheme="minorHAnsi" w:cstheme="minorBidi"/>
          <w:sz w:val="22"/>
          <w:szCs w:val="22"/>
          <w:lang w:eastAsia="en-US"/>
        </w:rPr>
        <w:t>IaaS</w:t>
      </w:r>
      <w:proofErr w:type="spellEnd"/>
      <w:r w:rsidRPr="006D68C3">
        <w:rPr>
          <w:rFonts w:asciiTheme="minorHAnsi" w:eastAsiaTheme="minorHAnsi" w:hAnsiTheme="minorHAnsi" w:cstheme="minorBidi"/>
          <w:sz w:val="22"/>
          <w:szCs w:val="22"/>
          <w:lang w:eastAsia="en-US"/>
        </w:rPr>
        <w:t xml:space="preserve"> ofrenda, </w:t>
      </w:r>
      <w:proofErr w:type="spellStart"/>
      <w:r w:rsidRPr="006D68C3">
        <w:rPr>
          <w:rFonts w:asciiTheme="minorHAnsi" w:eastAsiaTheme="minorHAnsi" w:hAnsiTheme="minorHAnsi" w:cstheme="minorBidi"/>
          <w:sz w:val="22"/>
          <w:szCs w:val="22"/>
          <w:lang w:eastAsia="en-US"/>
        </w:rPr>
        <w:t>CenturyLink</w:t>
      </w:r>
      <w:proofErr w:type="spellEnd"/>
      <w:r w:rsidRPr="006D68C3">
        <w:rPr>
          <w:rFonts w:asciiTheme="minorHAnsi" w:eastAsiaTheme="minorHAnsi" w:hAnsiTheme="minorHAnsi" w:cstheme="minorBidi"/>
          <w:sz w:val="22"/>
          <w:szCs w:val="22"/>
          <w:lang w:eastAsia="en-US"/>
        </w:rPr>
        <w:t xml:space="preserve"> Nube, utiliza la plataforma </w:t>
      </w:r>
      <w:proofErr w:type="spellStart"/>
      <w:r w:rsidRPr="006D68C3">
        <w:rPr>
          <w:rFonts w:asciiTheme="minorHAnsi" w:eastAsiaTheme="minorHAnsi" w:hAnsiTheme="minorHAnsi" w:cstheme="minorBidi"/>
          <w:sz w:val="22"/>
          <w:szCs w:val="22"/>
          <w:lang w:eastAsia="en-US"/>
        </w:rPr>
        <w:t>Tier</w:t>
      </w:r>
      <w:proofErr w:type="spellEnd"/>
      <w:r w:rsidRPr="006D68C3">
        <w:rPr>
          <w:rFonts w:asciiTheme="minorHAnsi" w:eastAsiaTheme="minorHAnsi" w:hAnsiTheme="minorHAnsi" w:cstheme="minorBidi"/>
          <w:sz w:val="22"/>
          <w:szCs w:val="22"/>
          <w:lang w:eastAsia="en-US"/>
        </w:rPr>
        <w:t xml:space="preserve"> 3 recién adquirida.</w:t>
      </w:r>
    </w:p>
    <w:p w:rsidR="001E401F" w:rsidRPr="006D68C3" w:rsidRDefault="001E401F" w:rsidP="00EE1E1B">
      <w:pPr>
        <w:pStyle w:val="NormalWeb"/>
        <w:shd w:val="clear" w:color="auto" w:fill="FFFFFF"/>
        <w:spacing w:after="182" w:line="364"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Ubicación: </w:t>
      </w:r>
      <w:proofErr w:type="spellStart"/>
      <w:r>
        <w:rPr>
          <w:rFonts w:asciiTheme="minorHAnsi" w:eastAsiaTheme="minorHAnsi" w:hAnsiTheme="minorHAnsi" w:cstheme="minorBidi"/>
          <w:sz w:val="22"/>
          <w:szCs w:val="22"/>
          <w:lang w:eastAsia="en-US"/>
        </w:rPr>
        <w:t>CenturyLink</w:t>
      </w:r>
      <w:proofErr w:type="spellEnd"/>
      <w:r>
        <w:rPr>
          <w:rFonts w:asciiTheme="minorHAnsi" w:eastAsiaTheme="minorHAnsi" w:hAnsiTheme="minorHAnsi" w:cstheme="minorBidi"/>
          <w:sz w:val="22"/>
          <w:szCs w:val="22"/>
          <w:lang w:eastAsia="en-US"/>
        </w:rPr>
        <w:t xml:space="preserve"> se encuentra</w:t>
      </w:r>
      <w:r w:rsidRPr="006D68C3">
        <w:rPr>
          <w:rFonts w:asciiTheme="minorHAnsi" w:eastAsiaTheme="minorHAnsi" w:hAnsiTheme="minorHAnsi" w:cstheme="minorBidi"/>
          <w:sz w:val="22"/>
          <w:szCs w:val="22"/>
          <w:lang w:eastAsia="en-US"/>
        </w:rPr>
        <w:t xml:space="preserve"> disponible en </w:t>
      </w:r>
      <w:r>
        <w:rPr>
          <w:rFonts w:asciiTheme="minorHAnsi" w:eastAsiaTheme="minorHAnsi" w:hAnsiTheme="minorHAnsi" w:cstheme="minorBidi"/>
          <w:sz w:val="22"/>
          <w:szCs w:val="22"/>
          <w:lang w:eastAsia="en-US"/>
        </w:rPr>
        <w:t>EE.UU.,</w:t>
      </w:r>
      <w:r w:rsidRPr="006D68C3">
        <w:rPr>
          <w:rFonts w:asciiTheme="minorHAnsi" w:eastAsiaTheme="minorHAnsi" w:hAnsiTheme="minorHAnsi" w:cstheme="minorBidi"/>
          <w:sz w:val="22"/>
          <w:szCs w:val="22"/>
          <w:lang w:eastAsia="en-US"/>
        </w:rPr>
        <w:t xml:space="preserve"> Canadá, </w:t>
      </w:r>
      <w:r>
        <w:rPr>
          <w:rFonts w:asciiTheme="minorHAnsi" w:eastAsiaTheme="minorHAnsi" w:hAnsiTheme="minorHAnsi" w:cstheme="minorBidi"/>
          <w:sz w:val="22"/>
          <w:szCs w:val="22"/>
          <w:lang w:eastAsia="en-US"/>
        </w:rPr>
        <w:t xml:space="preserve"> </w:t>
      </w:r>
      <w:r w:rsidRPr="006D68C3">
        <w:rPr>
          <w:rFonts w:asciiTheme="minorHAnsi" w:eastAsiaTheme="minorHAnsi" w:hAnsiTheme="minorHAnsi" w:cstheme="minorBidi"/>
          <w:sz w:val="22"/>
          <w:szCs w:val="22"/>
          <w:lang w:eastAsia="en-US"/>
        </w:rPr>
        <w:t>Alemania y ofe</w:t>
      </w:r>
      <w:r>
        <w:rPr>
          <w:rFonts w:asciiTheme="minorHAnsi" w:eastAsiaTheme="minorHAnsi" w:hAnsiTheme="minorHAnsi" w:cstheme="minorBidi"/>
          <w:sz w:val="22"/>
          <w:szCs w:val="22"/>
          <w:lang w:eastAsia="en-US"/>
        </w:rPr>
        <w:t xml:space="preserve">rtas de nube privadas del Reino. </w:t>
      </w:r>
      <w:proofErr w:type="spellStart"/>
      <w:r>
        <w:rPr>
          <w:rFonts w:asciiTheme="minorHAnsi" w:eastAsiaTheme="minorHAnsi" w:hAnsiTheme="minorHAnsi" w:cstheme="minorBidi"/>
          <w:sz w:val="22"/>
          <w:szCs w:val="22"/>
          <w:lang w:eastAsia="en-US"/>
        </w:rPr>
        <w:t>CenturyLink</w:t>
      </w:r>
      <w:proofErr w:type="spellEnd"/>
      <w:r>
        <w:rPr>
          <w:rFonts w:asciiTheme="minorHAnsi" w:eastAsiaTheme="minorHAnsi" w:hAnsiTheme="minorHAnsi" w:cstheme="minorBidi"/>
          <w:sz w:val="22"/>
          <w:szCs w:val="22"/>
          <w:lang w:eastAsia="en-US"/>
        </w:rPr>
        <w:t xml:space="preserve"> solo ofrece servicio </w:t>
      </w:r>
      <w:r w:rsidRPr="006D68C3">
        <w:rPr>
          <w:rFonts w:asciiTheme="minorHAnsi" w:eastAsiaTheme="minorHAnsi" w:hAnsiTheme="minorHAnsi" w:cstheme="minorBidi"/>
          <w:sz w:val="22"/>
          <w:szCs w:val="22"/>
          <w:lang w:eastAsia="en-US"/>
        </w:rPr>
        <w:t>en inglés.</w:t>
      </w:r>
    </w:p>
    <w:p w:rsidR="001E401F" w:rsidRPr="006D68C3" w:rsidRDefault="001E401F" w:rsidP="00EE1E1B">
      <w:pPr>
        <w:pStyle w:val="NormalWeb"/>
        <w:shd w:val="clear" w:color="auto" w:fill="FFFFFF"/>
        <w:spacing w:after="182" w:line="364" w:lineRule="atLeast"/>
        <w:jc w:val="both"/>
        <w:rPr>
          <w:rFonts w:asciiTheme="minorHAnsi" w:eastAsiaTheme="minorHAnsi" w:hAnsiTheme="minorHAnsi" w:cstheme="minorBidi"/>
          <w:sz w:val="22"/>
          <w:szCs w:val="22"/>
          <w:lang w:eastAsia="en-US"/>
        </w:rPr>
      </w:pPr>
    </w:p>
    <w:p w:rsidR="001E401F" w:rsidRPr="006D68C3" w:rsidRDefault="001E401F" w:rsidP="00EE1E1B">
      <w:pPr>
        <w:pStyle w:val="NormalWeb"/>
        <w:shd w:val="clear" w:color="auto" w:fill="FFFFFF"/>
        <w:spacing w:after="182" w:line="364"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Almacenamiento: </w:t>
      </w:r>
      <w:proofErr w:type="spellStart"/>
      <w:r>
        <w:rPr>
          <w:rFonts w:asciiTheme="minorHAnsi" w:eastAsiaTheme="minorHAnsi" w:hAnsiTheme="minorHAnsi" w:cstheme="minorBidi"/>
          <w:sz w:val="22"/>
          <w:szCs w:val="22"/>
          <w:lang w:eastAsia="en-US"/>
        </w:rPr>
        <w:t>CenturyLink</w:t>
      </w:r>
      <w:proofErr w:type="spellEnd"/>
      <w:r>
        <w:rPr>
          <w:rFonts w:asciiTheme="minorHAnsi" w:eastAsiaTheme="minorHAnsi" w:hAnsiTheme="minorHAnsi" w:cstheme="minorBidi"/>
          <w:sz w:val="22"/>
          <w:szCs w:val="22"/>
          <w:lang w:eastAsia="en-US"/>
        </w:rPr>
        <w:t xml:space="preserve"> </w:t>
      </w:r>
      <w:r w:rsidRPr="006D68C3">
        <w:rPr>
          <w:rFonts w:asciiTheme="minorHAnsi" w:eastAsiaTheme="minorHAnsi" w:hAnsiTheme="minorHAnsi" w:cstheme="minorBidi"/>
          <w:sz w:val="22"/>
          <w:szCs w:val="22"/>
          <w:lang w:eastAsia="en-US"/>
        </w:rPr>
        <w:t>cuenta con almacenamiento persistente local con una opción SSD, así como almacenamiento de bloque de VM-independiente que se integra con las c</w:t>
      </w:r>
      <w:r>
        <w:rPr>
          <w:rFonts w:asciiTheme="minorHAnsi" w:eastAsiaTheme="minorHAnsi" w:hAnsiTheme="minorHAnsi" w:cstheme="minorBidi"/>
          <w:sz w:val="22"/>
          <w:szCs w:val="22"/>
          <w:lang w:eastAsia="en-US"/>
        </w:rPr>
        <w:t>opias de seguridad y</w:t>
      </w:r>
      <w:r w:rsidRPr="006D68C3">
        <w:rPr>
          <w:rFonts w:asciiTheme="minorHAnsi" w:eastAsiaTheme="minorHAnsi" w:hAnsiTheme="minorHAnsi" w:cstheme="minorBidi"/>
          <w:sz w:val="22"/>
          <w:szCs w:val="22"/>
          <w:lang w:eastAsia="en-US"/>
        </w:rPr>
        <w:t xml:space="preserve"> opciones de recuperación de desastres. </w:t>
      </w:r>
    </w:p>
    <w:p w:rsidR="001E401F" w:rsidRPr="006D68C3" w:rsidRDefault="001E401F" w:rsidP="00EE1E1B">
      <w:pPr>
        <w:pStyle w:val="NormalWeb"/>
        <w:shd w:val="clear" w:color="auto" w:fill="FFFFFF"/>
        <w:spacing w:after="182" w:line="364"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Red: No cuenta con soporte para utilizar </w:t>
      </w:r>
      <w:r w:rsidRPr="006D68C3">
        <w:rPr>
          <w:rFonts w:asciiTheme="minorHAnsi" w:eastAsiaTheme="minorHAnsi" w:hAnsiTheme="minorHAnsi" w:cstheme="minorBidi"/>
          <w:sz w:val="22"/>
          <w:szCs w:val="22"/>
          <w:lang w:eastAsia="en-US"/>
        </w:rPr>
        <w:t>direcciones IP sum</w:t>
      </w:r>
      <w:r>
        <w:rPr>
          <w:rFonts w:asciiTheme="minorHAnsi" w:eastAsiaTheme="minorHAnsi" w:hAnsiTheme="minorHAnsi" w:cstheme="minorBidi"/>
          <w:sz w:val="22"/>
          <w:szCs w:val="22"/>
          <w:lang w:eastAsia="en-US"/>
        </w:rPr>
        <w:t xml:space="preserve">inistrados por el cliente, tampoco admite </w:t>
      </w:r>
      <w:r w:rsidRPr="006D68C3">
        <w:rPr>
          <w:rFonts w:asciiTheme="minorHAnsi" w:eastAsiaTheme="minorHAnsi" w:hAnsiTheme="minorHAnsi" w:cstheme="minorBidi"/>
          <w:sz w:val="22"/>
          <w:szCs w:val="22"/>
          <w:lang w:eastAsia="en-US"/>
        </w:rPr>
        <w:t xml:space="preserve"> autoservicio</w:t>
      </w:r>
      <w:r>
        <w:rPr>
          <w:rFonts w:asciiTheme="minorHAnsi" w:eastAsiaTheme="minorHAnsi" w:hAnsiTheme="minorHAnsi" w:cstheme="minorBidi"/>
          <w:sz w:val="22"/>
          <w:szCs w:val="22"/>
          <w:lang w:eastAsia="en-US"/>
        </w:rPr>
        <w:t xml:space="preserve"> total de</w:t>
      </w:r>
      <w:r w:rsidRPr="006D68C3">
        <w:rPr>
          <w:rFonts w:asciiTheme="minorHAnsi" w:eastAsiaTheme="minorHAnsi" w:hAnsiTheme="minorHAnsi" w:cstheme="minorBidi"/>
          <w:sz w:val="22"/>
          <w:szCs w:val="22"/>
          <w:lang w:eastAsia="en-US"/>
        </w:rPr>
        <w:t xml:space="preserve"> topologías de red complejas. La may</w:t>
      </w:r>
      <w:r>
        <w:rPr>
          <w:rFonts w:asciiTheme="minorHAnsi" w:eastAsiaTheme="minorHAnsi" w:hAnsiTheme="minorHAnsi" w:cstheme="minorBidi"/>
          <w:sz w:val="22"/>
          <w:szCs w:val="22"/>
          <w:lang w:eastAsia="en-US"/>
        </w:rPr>
        <w:t>oría de los centros de datos</w:t>
      </w:r>
      <w:r w:rsidRPr="006D68C3">
        <w:rPr>
          <w:rFonts w:asciiTheme="minorHAnsi" w:eastAsiaTheme="minorHAnsi" w:hAnsiTheme="minorHAnsi" w:cstheme="minorBidi"/>
          <w:sz w:val="22"/>
          <w:szCs w:val="22"/>
          <w:lang w:eastAsia="en-US"/>
        </w:rPr>
        <w:t xml:space="preserve"> no están conectados todavía de forma privada a través de la red de </w:t>
      </w:r>
      <w:proofErr w:type="spellStart"/>
      <w:r w:rsidRPr="006D68C3">
        <w:rPr>
          <w:rFonts w:asciiTheme="minorHAnsi" w:eastAsiaTheme="minorHAnsi" w:hAnsiTheme="minorHAnsi" w:cstheme="minorBidi"/>
          <w:sz w:val="22"/>
          <w:szCs w:val="22"/>
          <w:lang w:eastAsia="en-US"/>
        </w:rPr>
        <w:t>CenturyLink</w:t>
      </w:r>
      <w:proofErr w:type="spellEnd"/>
      <w:r w:rsidRPr="006D68C3">
        <w:rPr>
          <w:rFonts w:asciiTheme="minorHAnsi" w:eastAsiaTheme="minorHAnsi" w:hAnsiTheme="minorHAnsi" w:cstheme="minorBidi"/>
          <w:sz w:val="22"/>
          <w:szCs w:val="22"/>
          <w:lang w:eastAsia="en-US"/>
        </w:rPr>
        <w:t>.</w:t>
      </w:r>
    </w:p>
    <w:p w:rsidR="001E401F" w:rsidRPr="006D68C3" w:rsidRDefault="001E401F" w:rsidP="00EE1E1B">
      <w:pPr>
        <w:pStyle w:val="NormalWeb"/>
        <w:shd w:val="clear" w:color="auto" w:fill="FFFFFF"/>
        <w:spacing w:after="182" w:line="364"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Otras notas: Se puede utilizar</w:t>
      </w:r>
      <w:r w:rsidRPr="006D68C3">
        <w:rPr>
          <w:rFonts w:asciiTheme="minorHAnsi" w:eastAsiaTheme="minorHAnsi" w:hAnsiTheme="minorHAnsi" w:cstheme="minorBidi"/>
          <w:sz w:val="22"/>
          <w:szCs w:val="22"/>
          <w:lang w:eastAsia="en-US"/>
        </w:rPr>
        <w:t xml:space="preserve"> configuraciones de infraestructura compleja, de centro de múltiples datos. </w:t>
      </w:r>
      <w:proofErr w:type="spellStart"/>
      <w:r w:rsidRPr="006D68C3">
        <w:rPr>
          <w:rFonts w:asciiTheme="minorHAnsi" w:eastAsiaTheme="minorHAnsi" w:hAnsiTheme="minorHAnsi" w:cstheme="minorBidi"/>
          <w:sz w:val="22"/>
          <w:szCs w:val="22"/>
          <w:lang w:eastAsia="en-US"/>
        </w:rPr>
        <w:t>CenturyLink</w:t>
      </w:r>
      <w:proofErr w:type="spellEnd"/>
      <w:r w:rsidRPr="006D68C3">
        <w:rPr>
          <w:rFonts w:asciiTheme="minorHAnsi" w:eastAsiaTheme="minorHAnsi" w:hAnsiTheme="minorHAnsi" w:cstheme="minorBidi"/>
          <w:sz w:val="22"/>
          <w:szCs w:val="22"/>
          <w:lang w:eastAsia="en-US"/>
        </w:rPr>
        <w:t xml:space="preserve"> también ofrece la </w:t>
      </w:r>
      <w:r>
        <w:rPr>
          <w:rFonts w:asciiTheme="minorHAnsi" w:eastAsiaTheme="minorHAnsi" w:hAnsiTheme="minorHAnsi" w:cstheme="minorBidi"/>
          <w:sz w:val="22"/>
          <w:szCs w:val="22"/>
          <w:lang w:eastAsia="en-US"/>
        </w:rPr>
        <w:t>base de datos como un servicio.</w:t>
      </w:r>
    </w:p>
    <w:p w:rsidR="001E401F" w:rsidRPr="006D68C3" w:rsidRDefault="001E401F" w:rsidP="00EE1E1B">
      <w:pPr>
        <w:pStyle w:val="NormalWeb"/>
        <w:shd w:val="clear" w:color="auto" w:fill="FFFFFF"/>
        <w:spacing w:after="182" w:line="364" w:lineRule="atLeast"/>
        <w:jc w:val="both"/>
        <w:rPr>
          <w:rFonts w:asciiTheme="minorHAnsi" w:eastAsiaTheme="minorHAnsi" w:hAnsiTheme="minorHAnsi" w:cstheme="minorBidi"/>
          <w:sz w:val="22"/>
          <w:szCs w:val="22"/>
          <w:lang w:eastAsia="en-US"/>
        </w:rPr>
      </w:pPr>
      <w:r w:rsidRPr="006D68C3">
        <w:rPr>
          <w:rFonts w:asciiTheme="minorHAnsi" w:eastAsiaTheme="minorHAnsi" w:hAnsiTheme="minorHAnsi" w:cstheme="minorBidi"/>
          <w:sz w:val="22"/>
          <w:szCs w:val="22"/>
          <w:lang w:eastAsia="en-US"/>
        </w:rPr>
        <w:t xml:space="preserve">Usos recomendados: aplicaciones empresariales generales, aplicaciones empresariales, </w:t>
      </w:r>
      <w:r>
        <w:rPr>
          <w:rFonts w:asciiTheme="minorHAnsi" w:eastAsiaTheme="minorHAnsi" w:hAnsiTheme="minorHAnsi" w:cstheme="minorBidi"/>
          <w:sz w:val="22"/>
          <w:szCs w:val="22"/>
          <w:lang w:eastAsia="en-US"/>
        </w:rPr>
        <w:t>ambientes de desarrollo,</w:t>
      </w:r>
      <w:r w:rsidRPr="006D68C3">
        <w:rPr>
          <w:rFonts w:asciiTheme="minorHAnsi" w:eastAsiaTheme="minorHAnsi" w:hAnsiTheme="minorHAnsi" w:cstheme="minorBidi"/>
          <w:sz w:val="22"/>
          <w:szCs w:val="22"/>
          <w:lang w:eastAsia="en-US"/>
        </w:rPr>
        <w:t xml:space="preserve"> aplicaciones </w:t>
      </w:r>
      <w:r>
        <w:rPr>
          <w:rFonts w:asciiTheme="minorHAnsi" w:eastAsiaTheme="minorHAnsi" w:hAnsiTheme="minorHAnsi" w:cstheme="minorBidi"/>
          <w:sz w:val="22"/>
          <w:szCs w:val="22"/>
          <w:lang w:eastAsia="en-US"/>
        </w:rPr>
        <w:t>nativas en la nube</w:t>
      </w:r>
      <w:r w:rsidRPr="006D68C3">
        <w:rPr>
          <w:rFonts w:asciiTheme="minorHAnsi" w:eastAsiaTheme="minorHAnsi" w:hAnsiTheme="minorHAnsi" w:cstheme="minorBidi"/>
          <w:sz w:val="22"/>
          <w:szCs w:val="22"/>
          <w:lang w:eastAsia="en-US"/>
        </w:rPr>
        <w:t>, hospedaje e-</w:t>
      </w:r>
      <w:proofErr w:type="spellStart"/>
      <w:r w:rsidRPr="006D68C3">
        <w:rPr>
          <w:rFonts w:asciiTheme="minorHAnsi" w:eastAsiaTheme="minorHAnsi" w:hAnsiTheme="minorHAnsi" w:cstheme="minorBidi"/>
          <w:sz w:val="22"/>
          <w:szCs w:val="22"/>
          <w:lang w:eastAsia="en-US"/>
        </w:rPr>
        <w:t>business</w:t>
      </w:r>
      <w:proofErr w:type="spellEnd"/>
      <w:r w:rsidRPr="006D68C3">
        <w:rPr>
          <w:rFonts w:asciiTheme="minorHAnsi" w:eastAsiaTheme="minorHAnsi" w:hAnsiTheme="minorHAnsi" w:cstheme="minorBidi"/>
          <w:sz w:val="22"/>
          <w:szCs w:val="22"/>
          <w:lang w:eastAsia="en-US"/>
        </w:rPr>
        <w:t>.</w:t>
      </w:r>
    </w:p>
    <w:p w:rsidR="001E401F" w:rsidRDefault="001E401F" w:rsidP="001E401F"/>
    <w:p w:rsidR="001E401F" w:rsidRPr="00EA4C6A" w:rsidRDefault="001E401F" w:rsidP="001E401F">
      <w:pPr>
        <w:rPr>
          <w:b/>
        </w:rPr>
      </w:pPr>
      <w:r w:rsidRPr="00EA4C6A">
        <w:rPr>
          <w:b/>
        </w:rPr>
        <w:t>Google</w:t>
      </w:r>
    </w:p>
    <w:p w:rsidR="001E401F" w:rsidRDefault="001E401F" w:rsidP="00EE1E1B">
      <w:pPr>
        <w:jc w:val="both"/>
      </w:pPr>
      <w:r>
        <w:t xml:space="preserve">Google es un proveedor de Internet centrada en la tecnología y servicios. Google Cloud </w:t>
      </w:r>
      <w:proofErr w:type="spellStart"/>
      <w:r>
        <w:t>Platform</w:t>
      </w:r>
      <w:proofErr w:type="spellEnd"/>
      <w:r>
        <w:t xml:space="preserve"> combina una oferta </w:t>
      </w:r>
      <w:proofErr w:type="spellStart"/>
      <w:r>
        <w:t>IaaS</w:t>
      </w:r>
      <w:proofErr w:type="spellEnd"/>
      <w:r>
        <w:t xml:space="preserve">, una oferta </w:t>
      </w:r>
      <w:proofErr w:type="spellStart"/>
      <w:r>
        <w:t>PaaS</w:t>
      </w:r>
      <w:proofErr w:type="spellEnd"/>
      <w:r>
        <w:t xml:space="preserve"> y una gama de servicios complementarios. </w:t>
      </w:r>
    </w:p>
    <w:p w:rsidR="001E401F" w:rsidRDefault="001E401F" w:rsidP="00EE1E1B">
      <w:pPr>
        <w:jc w:val="both"/>
      </w:pPr>
      <w:r>
        <w:t xml:space="preserve">Ubicación: Hay una región central de Estados Unidos, una región Europea (Bélgica), y una región de Asia (Taiwán). El soporte esta en </w:t>
      </w:r>
      <w:proofErr w:type="gramStart"/>
      <w:r>
        <w:t>Inglés</w:t>
      </w:r>
      <w:proofErr w:type="gramEnd"/>
      <w:r>
        <w:t xml:space="preserve"> y Japonés. El portal está disponible en Inglés, español, portugués, japonés y mandarín. La documentación está disponible en los idiomas mencionados anteriormente, además de francés, alemán, ruso, cantonés y coreano.</w:t>
      </w:r>
    </w:p>
    <w:p w:rsidR="001E401F" w:rsidRDefault="001E401F" w:rsidP="00EE1E1B">
      <w:pPr>
        <w:jc w:val="both"/>
      </w:pPr>
      <w:r>
        <w:t>Almacenamiento: almacenamiento persistente de máquinas virtuales,  también hay almacenamiento de bloques VM-independiente. El almacenamiento de bloques está encriptada.</w:t>
      </w:r>
    </w:p>
    <w:p w:rsidR="001E401F" w:rsidRDefault="001E401F" w:rsidP="00EE1E1B">
      <w:pPr>
        <w:jc w:val="both"/>
      </w:pPr>
      <w:r>
        <w:t>Red: conectividad privada de terceros no es compatible. Los clientes no pueden hace ruso de sus propias direcciones IP privadas.</w:t>
      </w:r>
    </w:p>
    <w:p w:rsidR="001E401F" w:rsidRDefault="001E401F" w:rsidP="00EE1E1B">
      <w:pPr>
        <w:jc w:val="both"/>
      </w:pPr>
      <w:r w:rsidRPr="004D19AE">
        <w:t xml:space="preserve">Otras notas: </w:t>
      </w:r>
      <w:r>
        <w:t xml:space="preserve">El </w:t>
      </w:r>
      <w:r w:rsidRPr="004D19AE">
        <w:t>soporte de nivel empresarial es extra.</w:t>
      </w:r>
    </w:p>
    <w:p w:rsidR="001E401F" w:rsidRDefault="001E401F" w:rsidP="00EE1E1B">
      <w:pPr>
        <w:jc w:val="both"/>
      </w:pPr>
      <w:r>
        <w:t>Usos recomendados: A</w:t>
      </w:r>
      <w:r w:rsidRPr="00E90D2E">
        <w:t xml:space="preserve">plicaciones </w:t>
      </w:r>
      <w:r>
        <w:t xml:space="preserve">nativas de la nube y computación </w:t>
      </w:r>
      <w:proofErr w:type="spellStart"/>
      <w:r>
        <w:t>batch</w:t>
      </w:r>
      <w:proofErr w:type="spellEnd"/>
      <w:r w:rsidRPr="00E90D2E">
        <w:t>, así como los proyectos que a</w:t>
      </w:r>
      <w:r>
        <w:t>provechan la plataforma de la nube de Google</w:t>
      </w:r>
      <w:r w:rsidRPr="00E90D2E">
        <w:t>.</w:t>
      </w:r>
    </w:p>
    <w:p w:rsidR="001E401F" w:rsidRDefault="001E401F" w:rsidP="001E401F"/>
    <w:p w:rsidR="001E401F" w:rsidRDefault="001E401F" w:rsidP="001E401F"/>
    <w:p w:rsidR="001E401F" w:rsidRDefault="001E401F" w:rsidP="001E401F"/>
    <w:p w:rsidR="001E401F" w:rsidRDefault="001E401F" w:rsidP="001E401F"/>
    <w:p w:rsidR="001E401F" w:rsidRPr="004D19AE" w:rsidRDefault="001E401F" w:rsidP="001E401F">
      <w:pPr>
        <w:rPr>
          <w:b/>
        </w:rPr>
      </w:pPr>
      <w:r w:rsidRPr="004D19AE">
        <w:rPr>
          <w:b/>
        </w:rPr>
        <w:t>Microsoft</w:t>
      </w:r>
    </w:p>
    <w:p w:rsidR="001E401F" w:rsidRDefault="001E401F" w:rsidP="00EE1E1B">
      <w:pPr>
        <w:jc w:val="both"/>
      </w:pPr>
      <w:r>
        <w:t xml:space="preserve">Microsoft es un proveedor de gran y diversa tecnología que se enfoca en la prestación de sus capacidades de software a través de servicios en la nube. Anteriormente su negocio </w:t>
      </w:r>
      <w:proofErr w:type="spellStart"/>
      <w:r>
        <w:t>Azure</w:t>
      </w:r>
      <w:proofErr w:type="spellEnd"/>
      <w:r>
        <w:t xml:space="preserve"> era estrictamente </w:t>
      </w:r>
      <w:proofErr w:type="spellStart"/>
      <w:r>
        <w:t>PaaS</w:t>
      </w:r>
      <w:proofErr w:type="spellEnd"/>
      <w:r>
        <w:t xml:space="preserve">,  sin embargo  Microsoft lanzó servicios de infraestructura </w:t>
      </w:r>
      <w:proofErr w:type="spellStart"/>
      <w:r>
        <w:t>Azure</w:t>
      </w:r>
      <w:proofErr w:type="spellEnd"/>
      <w:r>
        <w:t xml:space="preserve">  que incluyen máquinas virtuales </w:t>
      </w:r>
      <w:proofErr w:type="spellStart"/>
      <w:r>
        <w:t>Azure</w:t>
      </w:r>
      <w:proofErr w:type="spellEnd"/>
      <w:r>
        <w:t xml:space="preserve"> y </w:t>
      </w:r>
      <w:proofErr w:type="spellStart"/>
      <w:r>
        <w:t>Azure</w:t>
      </w:r>
      <w:proofErr w:type="spellEnd"/>
      <w:r>
        <w:t xml:space="preserve"> redes Virtuales entrando a</w:t>
      </w:r>
      <w:r w:rsidR="00A137BF">
        <w:t xml:space="preserve">sí en el mercado de </w:t>
      </w:r>
      <w:proofErr w:type="spellStart"/>
      <w:r w:rsidR="00A137BF">
        <w:t>cloud</w:t>
      </w:r>
      <w:proofErr w:type="spellEnd"/>
      <w:r w:rsidR="00A137BF">
        <w:t xml:space="preserve"> </w:t>
      </w:r>
      <w:proofErr w:type="spellStart"/>
      <w:r w:rsidR="00A137BF">
        <w:t>IaaS</w:t>
      </w:r>
      <w:proofErr w:type="spellEnd"/>
      <w:r w:rsidR="00A137BF">
        <w:t>.</w:t>
      </w:r>
    </w:p>
    <w:p w:rsidR="001E401F" w:rsidRDefault="001E401F" w:rsidP="00EE1E1B">
      <w:pPr>
        <w:jc w:val="both"/>
      </w:pPr>
      <w:r>
        <w:t xml:space="preserve">Ubicación: Los servicios de Infraestructura </w:t>
      </w:r>
      <w:proofErr w:type="spellStart"/>
      <w:r>
        <w:t>Azure</w:t>
      </w:r>
      <w:proofErr w:type="spellEnd"/>
      <w:r>
        <w:t xml:space="preserve"> están disponibles en los EE.UU.,  Irlanda, Holanda, Hong Kong, Japón, Singapur, China y Brasil. Microsoft tiene ventas globales,  proporciona apoyo durante horas de oficina en Inglés, francés, alemán, italiano, español, japonés, coreano, mandarín y portugués; 24/7 apoyo se proporciona en Inglés y sólo japonés. El portal y la documentación están disponibles en esos idiomas, así como de Rusia.</w:t>
      </w:r>
    </w:p>
    <w:p w:rsidR="001E401F" w:rsidRDefault="001E401F" w:rsidP="00EE1E1B">
      <w:pPr>
        <w:jc w:val="both"/>
      </w:pPr>
      <w:r>
        <w:t>Almacenamiento: Disco duro virtual persistente y VM-independiente. Almacenamiento en la nube basada en objetos.</w:t>
      </w:r>
    </w:p>
    <w:p w:rsidR="001E401F" w:rsidRDefault="001E401F" w:rsidP="00EE1E1B">
      <w:pPr>
        <w:jc w:val="both"/>
      </w:pPr>
      <w:r>
        <w:t>La red: No hay soporte para las topologías de red complejas.</w:t>
      </w:r>
    </w:p>
    <w:p w:rsidR="001E401F" w:rsidRDefault="001E401F" w:rsidP="00EE1E1B">
      <w:pPr>
        <w:jc w:val="both"/>
      </w:pPr>
      <w:r>
        <w:t>Seguridad: Las limitaciones de topología de red virtuales impiden el despliegue útil de la mayoría de los dispositivos virtuales relacionados con la seguridad.</w:t>
      </w:r>
    </w:p>
    <w:p w:rsidR="001E401F" w:rsidRDefault="001E401F" w:rsidP="00EE1E1B">
      <w:pPr>
        <w:jc w:val="both"/>
      </w:pPr>
      <w:r>
        <w:t xml:space="preserve">Otras notas: Los costos de soporte de nivel empresarial son adicionales. </w:t>
      </w:r>
    </w:p>
    <w:p w:rsidR="001E401F" w:rsidRDefault="001E401F" w:rsidP="00EE1E1B">
      <w:pPr>
        <w:jc w:val="both"/>
      </w:pPr>
      <w:r>
        <w:t xml:space="preserve">Usos recomendados: Aplicaciones empresariales generales y entornos de desarrollo para las organizaciones </w:t>
      </w:r>
      <w:proofErr w:type="spellStart"/>
      <w:r>
        <w:t>Microsoftcentric</w:t>
      </w:r>
      <w:proofErr w:type="spellEnd"/>
      <w:r>
        <w:t>; aplicaciones nativas de la nube.</w:t>
      </w:r>
    </w:p>
    <w:p w:rsidR="001E401F" w:rsidRDefault="001E401F" w:rsidP="001E401F"/>
    <w:p w:rsidR="001E401F" w:rsidRPr="00BC6F50" w:rsidRDefault="001E401F" w:rsidP="001E401F">
      <w:pPr>
        <w:rPr>
          <w:b/>
        </w:rPr>
      </w:pPr>
      <w:r w:rsidRPr="00BC6F50">
        <w:rPr>
          <w:b/>
        </w:rPr>
        <w:t xml:space="preserve">Amazon Web </w:t>
      </w:r>
      <w:proofErr w:type="spellStart"/>
      <w:r w:rsidRPr="00BC6F50">
        <w:rPr>
          <w:b/>
        </w:rPr>
        <w:t>Services</w:t>
      </w:r>
      <w:proofErr w:type="spellEnd"/>
    </w:p>
    <w:p w:rsidR="001E401F" w:rsidRDefault="001E401F" w:rsidP="00EE1E1B">
      <w:pPr>
        <w:jc w:val="both"/>
      </w:pPr>
      <w:r>
        <w:t>AWS, una subsidiaria de Amazon.com, es un proveedor de servicios en la nube de capacidades altamente rentables de TI.</w:t>
      </w:r>
    </w:p>
    <w:p w:rsidR="001E401F" w:rsidRDefault="001E401F" w:rsidP="00EE1E1B">
      <w:pPr>
        <w:jc w:val="both"/>
      </w:pPr>
      <w:r>
        <w:t>Ubicaciones: AWS tiene regiones en los EE.UU., Irlanda, Japón, Singapur, Australia, Brasil, China. Tiene ventas globales. El apoyo se proporciona en Inglés, japonés y portugués, alemán, español, hindi, coreano y mandarín. El portal y la documentación están disponibles en Inglés, holandés, francés, alemán, portugués, español, japonés, coreano y mandarín.</w:t>
      </w:r>
    </w:p>
    <w:p w:rsidR="001E401F" w:rsidRDefault="001E401F" w:rsidP="00EE1E1B">
      <w:pPr>
        <w:jc w:val="both"/>
      </w:pPr>
      <w:r>
        <w:t>Almacenamiento: El almacenamiento de las máquinas virtuales es efímera. AWS ofrece su propio almacenamiento en la nube.</w:t>
      </w:r>
    </w:p>
    <w:p w:rsidR="001E401F" w:rsidRDefault="001E401F" w:rsidP="00EE1E1B">
      <w:pPr>
        <w:jc w:val="both"/>
      </w:pPr>
      <w:r>
        <w:t xml:space="preserve">Red: AWS ofrece una gama completa de opciones de red. Redes complejas e </w:t>
      </w:r>
      <w:proofErr w:type="spellStart"/>
      <w:r>
        <w:t>IPsec</w:t>
      </w:r>
      <w:proofErr w:type="spellEnd"/>
      <w:r>
        <w:t xml:space="preserve"> VPN se realiza a través de Amazon Virtual </w:t>
      </w:r>
      <w:proofErr w:type="spellStart"/>
      <w:r>
        <w:t>Private</w:t>
      </w:r>
      <w:proofErr w:type="spellEnd"/>
      <w:r>
        <w:t xml:space="preserve"> Cloud (VPC). Conectividad de terceros es a través de intercambios de pareja (AWS </w:t>
      </w:r>
      <w:proofErr w:type="spellStart"/>
      <w:r>
        <w:t>Direct</w:t>
      </w:r>
      <w:proofErr w:type="spellEnd"/>
      <w:r>
        <w:t xml:space="preserve"> </w:t>
      </w:r>
      <w:proofErr w:type="spellStart"/>
      <w:r>
        <w:t>Connect</w:t>
      </w:r>
      <w:proofErr w:type="spellEnd"/>
      <w:r>
        <w:t>).</w:t>
      </w:r>
    </w:p>
    <w:p w:rsidR="001E401F" w:rsidRDefault="001E401F" w:rsidP="00EE1E1B">
      <w:pPr>
        <w:jc w:val="both"/>
      </w:pPr>
      <w:r>
        <w:t xml:space="preserve">Seguridad: Roles definidos por el cliente y un control excepcional sobre los </w:t>
      </w:r>
      <w:proofErr w:type="spellStart"/>
      <w:r>
        <w:t>permisos.AWS</w:t>
      </w:r>
      <w:proofErr w:type="spellEnd"/>
      <w:r>
        <w:t xml:space="preserve"> ha obtenido muchos seguridad y certificaciones relacionadas con el cumplimiento y auditorías.</w:t>
      </w:r>
    </w:p>
    <w:p w:rsidR="001E401F" w:rsidRDefault="001E401F" w:rsidP="001E401F">
      <w:r>
        <w:t xml:space="preserve">Otras notas: El soporte de nivel empresarial es extra. </w:t>
      </w:r>
    </w:p>
    <w:p w:rsidR="001E401F" w:rsidRDefault="001E401F" w:rsidP="00EE1E1B">
      <w:pPr>
        <w:jc w:val="both"/>
      </w:pPr>
      <w:r>
        <w:t>Usos recomendados: F</w:t>
      </w:r>
      <w:r w:rsidRPr="00F23405">
        <w:t xml:space="preserve">uncionan bien en un entorno </w:t>
      </w:r>
      <w:proofErr w:type="spellStart"/>
      <w:r w:rsidRPr="00F23405">
        <w:t>virtualizado</w:t>
      </w:r>
      <w:proofErr w:type="spellEnd"/>
      <w:r w:rsidRPr="00F23405">
        <w:t>, aunque las aplicaciones de alta seguridad, aplicaciones estrictamente conformes o empresariales (especialmente complejas, como las aplicaciones de negocio SAP) requieren una atención especial a la arquitectura.</w:t>
      </w:r>
    </w:p>
    <w:p w:rsidR="001E401F" w:rsidRDefault="001E401F" w:rsidP="001E401F">
      <w:r>
        <w:t xml:space="preserve">Respecto a la gráfica siguiente </w:t>
      </w:r>
      <w:r w:rsidRPr="001E401F">
        <w:t>(</w:t>
      </w:r>
      <w:proofErr w:type="spellStart"/>
      <w:r w:rsidRPr="001E401F">
        <w:t>Gartner</w:t>
      </w:r>
      <w:proofErr w:type="spellEnd"/>
      <w:r w:rsidRPr="001E401F">
        <w:t xml:space="preserve"> </w:t>
      </w:r>
      <w:proofErr w:type="spellStart"/>
      <w:r w:rsidRPr="001E401F">
        <w:t>Hype</w:t>
      </w:r>
      <w:proofErr w:type="spellEnd"/>
      <w:r w:rsidRPr="001E401F">
        <w:t xml:space="preserve"> </w:t>
      </w:r>
      <w:proofErr w:type="spellStart"/>
      <w:r w:rsidRPr="001E401F">
        <w:t>Cycle</w:t>
      </w:r>
      <w:proofErr w:type="spellEnd"/>
      <w:r w:rsidRPr="001E401F">
        <w:t>)</w:t>
      </w:r>
      <w:r>
        <w:t xml:space="preserve"> se comienza a ver como una tecnología robusta.</w:t>
      </w:r>
    </w:p>
    <w:p w:rsidR="001E401F" w:rsidRDefault="001E401F" w:rsidP="001E401F">
      <w:r>
        <w:rPr>
          <w:noProof/>
          <w:lang w:eastAsia="es-MX"/>
        </w:rPr>
        <w:drawing>
          <wp:inline distT="0" distB="0" distL="0" distR="0" wp14:anchorId="0E03E402" wp14:editId="464EE429">
            <wp:extent cx="5184606" cy="3240000"/>
            <wp:effectExtent l="19050" t="0" r="0" b="0"/>
            <wp:docPr id="6" name="Imagen 6" descr="Emerging technologies for 2014, fuente: Gartne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erging technologies for 2014, fuente: Gartner, Inc."/>
                    <pic:cNvPicPr>
                      <a:picLocks noChangeAspect="1" noChangeArrowheads="1"/>
                    </pic:cNvPicPr>
                  </pic:nvPicPr>
                  <pic:blipFill>
                    <a:blip r:embed="rId11" cstate="print"/>
                    <a:srcRect/>
                    <a:stretch>
                      <a:fillRect/>
                    </a:stretch>
                  </pic:blipFill>
                  <pic:spPr bwMode="auto">
                    <a:xfrm>
                      <a:off x="0" y="0"/>
                      <a:ext cx="5184606" cy="3240000"/>
                    </a:xfrm>
                    <a:prstGeom prst="rect">
                      <a:avLst/>
                    </a:prstGeom>
                    <a:noFill/>
                    <a:ln w="9525">
                      <a:noFill/>
                      <a:miter lim="800000"/>
                      <a:headEnd/>
                      <a:tailEnd/>
                    </a:ln>
                  </pic:spPr>
                </pic:pic>
              </a:graphicData>
            </a:graphic>
          </wp:inline>
        </w:drawing>
      </w:r>
      <w:bookmarkStart w:id="6" w:name="_GoBack"/>
      <w:bookmarkEnd w:id="6"/>
    </w:p>
    <w:p w:rsidR="00E93C11" w:rsidRDefault="009F7E9F" w:rsidP="00A137BF">
      <w:pPr>
        <w:pStyle w:val="Heading1"/>
      </w:pPr>
      <w:bookmarkStart w:id="7" w:name="_Toc430459576"/>
      <w:r>
        <w:t>Conclusiones</w:t>
      </w:r>
      <w:bookmarkEnd w:id="7"/>
    </w:p>
    <w:p w:rsidR="00E93C11" w:rsidRDefault="001E401F" w:rsidP="00EE1E1B">
      <w:pPr>
        <w:jc w:val="both"/>
      </w:pPr>
      <w:r>
        <w:t xml:space="preserve">De acuerdo a los reportes de </w:t>
      </w:r>
      <w:proofErr w:type="spellStart"/>
      <w:r>
        <w:t>Gartner</w:t>
      </w:r>
      <w:proofErr w:type="spellEnd"/>
      <w:r>
        <w:t xml:space="preserve"> la empresa que ofrece una mayor cantidad de servicios </w:t>
      </w:r>
      <w:r w:rsidR="00EE1E1B">
        <w:t xml:space="preserve">es Amazon web </w:t>
      </w:r>
      <w:proofErr w:type="spellStart"/>
      <w:r w:rsidR="00EE1E1B">
        <w:t>service</w:t>
      </w:r>
      <w:proofErr w:type="spellEnd"/>
      <w:r w:rsidR="00EE1E1B">
        <w:t>. P</w:t>
      </w:r>
      <w:r>
        <w:t xml:space="preserve">odemos confiar </w:t>
      </w:r>
      <w:r w:rsidR="00EE1E1B">
        <w:t xml:space="preserve">en </w:t>
      </w:r>
      <w:r>
        <w:t xml:space="preserve">que es una empresa que cada vez va a tomando una mayor robustez. La grafica de los cuadrantes de </w:t>
      </w:r>
      <w:proofErr w:type="spellStart"/>
      <w:r>
        <w:t>Gartner</w:t>
      </w:r>
      <w:proofErr w:type="spellEnd"/>
      <w:r>
        <w:t xml:space="preserve"> nos muestra que AWS es líder en la tecnología de computo en la nube, sin embargo es probable que no se exploten todos los servicios ofrecidos por Amazon por lo cual se podría optar por el proveedor de servicios Google, aunque este proveedor ofrece menores servicios que Amazon </w:t>
      </w:r>
      <w:r w:rsidR="004B0EBB">
        <w:t>también implica que el costo a pagar por los servicios será menor.</w:t>
      </w:r>
    </w:p>
    <w:p w:rsidR="009F7E9F" w:rsidRDefault="009F7E9F" w:rsidP="00E93C11">
      <w:pPr>
        <w:pStyle w:val="Heading1"/>
      </w:pPr>
      <w:bookmarkStart w:id="8" w:name="_Toc430459577"/>
      <w:r>
        <w:t>Bibliografía</w:t>
      </w:r>
      <w:bookmarkEnd w:id="8"/>
    </w:p>
    <w:p w:rsidR="00AC5AD2" w:rsidRDefault="00AC5AD2">
      <w:r>
        <w:t>[1]</w:t>
      </w:r>
      <w:r w:rsidRPr="00AC5AD2">
        <w:t xml:space="preserve"> Cómputo en Nube: Ventajas y Desventajas</w:t>
      </w:r>
    </w:p>
    <w:p w:rsidR="00AC5AD2" w:rsidRDefault="00EE1E1B">
      <w:hyperlink r:id="rId12" w:history="1">
        <w:r w:rsidR="00AC5AD2" w:rsidRPr="005C1609">
          <w:rPr>
            <w:rStyle w:val="Hyperlink"/>
          </w:rPr>
          <w:t>http://revista.seguridad.unam.mx/numero-08/c%C3%B3mputo-en-nube-ventajas-y-desventajas</w:t>
        </w:r>
      </w:hyperlink>
    </w:p>
    <w:p w:rsidR="00AC5AD2" w:rsidRDefault="00AC5AD2"/>
    <w:p w:rsidR="00AC5AD2" w:rsidRDefault="00AC5AD2">
      <w:pPr>
        <w:rPr>
          <w:lang w:val="en-US"/>
        </w:rPr>
      </w:pPr>
      <w:r w:rsidRPr="00AC5AD2">
        <w:rPr>
          <w:lang w:val="en-US"/>
        </w:rPr>
        <w:t>[2</w:t>
      </w:r>
      <w:proofErr w:type="gramStart"/>
      <w:r w:rsidRPr="00AC5AD2">
        <w:rPr>
          <w:lang w:val="en-US"/>
        </w:rPr>
        <w:t>]  L</w:t>
      </w:r>
      <w:proofErr w:type="gramEnd"/>
      <w:r w:rsidRPr="00AC5AD2">
        <w:rPr>
          <w:lang w:val="en-US"/>
        </w:rPr>
        <w:t xml:space="preserve">. Long et al, “Magic Quadrant for Cloud Infrastructure as a Service,” Gartner, Inc., 10-Oct-2014. Available: </w:t>
      </w:r>
      <w:hyperlink r:id="rId13" w:history="1">
        <w:r w:rsidRPr="005C1609">
          <w:rPr>
            <w:rStyle w:val="Hyperlink"/>
            <w:lang w:val="en-US"/>
          </w:rPr>
          <w:t>http://www.infomall.org/I590ABDSSoftware/Resources/Magic%20Quadrant%20for%20Cloud%20Infrastructure%20as%20a%20Service.pdf</w:t>
        </w:r>
      </w:hyperlink>
    </w:p>
    <w:p w:rsidR="004B0EBB" w:rsidRDefault="004B0EBB">
      <w:pPr>
        <w:rPr>
          <w:rFonts w:cstheme="minorHAnsi"/>
          <w:color w:val="555555"/>
          <w:shd w:val="clear" w:color="auto" w:fill="FFFFFF"/>
          <w:lang w:val="en-US"/>
        </w:rPr>
      </w:pPr>
    </w:p>
    <w:p w:rsidR="00F31029" w:rsidRDefault="00F31029">
      <w:pPr>
        <w:rPr>
          <w:rFonts w:cstheme="minorHAnsi"/>
          <w:color w:val="555555"/>
          <w:shd w:val="clear" w:color="auto" w:fill="FFFFFF"/>
          <w:lang w:val="en-US"/>
        </w:rPr>
      </w:pPr>
      <w:r w:rsidRPr="00F31029">
        <w:rPr>
          <w:rFonts w:cstheme="minorHAnsi"/>
          <w:color w:val="555555"/>
          <w:shd w:val="clear" w:color="auto" w:fill="FFFFFF"/>
          <w:lang w:val="en-US"/>
        </w:rPr>
        <w:t>[3]</w:t>
      </w:r>
      <w:proofErr w:type="gramStart"/>
      <w:r w:rsidRPr="00F31029">
        <w:rPr>
          <w:rFonts w:cstheme="minorHAnsi"/>
          <w:color w:val="555555"/>
          <w:shd w:val="clear" w:color="auto" w:fill="FFFFFF"/>
          <w:lang w:val="en-US"/>
        </w:rPr>
        <w:t>  E</w:t>
      </w:r>
      <w:proofErr w:type="gramEnd"/>
      <w:r w:rsidRPr="00F31029">
        <w:rPr>
          <w:rFonts w:cstheme="minorHAnsi"/>
          <w:color w:val="555555"/>
          <w:shd w:val="clear" w:color="auto" w:fill="FFFFFF"/>
          <w:lang w:val="en-US"/>
        </w:rPr>
        <w:t>. R. Rodríguez-Ávila, “</w:t>
      </w:r>
      <w:r w:rsidRPr="00F31029">
        <w:rPr>
          <w:rStyle w:val="Emphasis"/>
          <w:rFonts w:cstheme="minorHAnsi"/>
          <w:color w:val="555555"/>
          <w:bdr w:val="none" w:sz="0" w:space="0" w:color="auto" w:frame="1"/>
          <w:shd w:val="clear" w:color="auto" w:fill="FFFFFF"/>
          <w:lang w:val="en-US"/>
        </w:rPr>
        <w:t>Cloud Computing</w:t>
      </w:r>
      <w:r w:rsidRPr="00F31029">
        <w:rPr>
          <w:rFonts w:cstheme="minorHAnsi"/>
          <w:color w:val="555555"/>
          <w:shd w:val="clear" w:color="auto" w:fill="FFFFFF"/>
          <w:lang w:val="en-US"/>
        </w:rPr>
        <w:t>,” blog, 02-Sep-2015. [Online] Available:</w:t>
      </w:r>
    </w:p>
    <w:p w:rsidR="004B0EBB" w:rsidRDefault="00F31029">
      <w:pPr>
        <w:rPr>
          <w:rStyle w:val="apple-converted-space"/>
          <w:rFonts w:cstheme="minorHAnsi"/>
          <w:color w:val="555555"/>
          <w:shd w:val="clear" w:color="auto" w:fill="FFFFFF"/>
          <w:lang w:val="en-US"/>
        </w:rPr>
      </w:pPr>
      <w:r w:rsidRPr="00F31029">
        <w:rPr>
          <w:rStyle w:val="apple-converted-space"/>
          <w:rFonts w:cstheme="minorHAnsi"/>
          <w:color w:val="555555"/>
          <w:shd w:val="clear" w:color="auto" w:fill="FFFFFF"/>
          <w:lang w:val="en-US"/>
        </w:rPr>
        <w:t> </w:t>
      </w:r>
      <w:hyperlink r:id="rId14" w:history="1">
        <w:r w:rsidR="004B0EBB" w:rsidRPr="00BD1B6D">
          <w:rPr>
            <w:rStyle w:val="Hyperlink"/>
            <w:rFonts w:cstheme="minorHAnsi"/>
            <w:shd w:val="clear" w:color="auto" w:fill="FFFFFF"/>
            <w:lang w:val="en-US"/>
          </w:rPr>
          <w:t>https://eravila.wordpress.com/2015/09/02/cloud-computing/</w:t>
        </w:r>
      </w:hyperlink>
    </w:p>
    <w:p w:rsidR="004B0EBB" w:rsidRDefault="004B0EBB">
      <w:pPr>
        <w:rPr>
          <w:rFonts w:cstheme="minorHAnsi"/>
          <w:color w:val="555555"/>
          <w:shd w:val="clear" w:color="auto" w:fill="FFFFFF"/>
          <w:lang w:val="en-US"/>
        </w:rPr>
      </w:pPr>
    </w:p>
    <w:p w:rsidR="004B0EBB" w:rsidRDefault="004B0EBB">
      <w:pPr>
        <w:rPr>
          <w:rFonts w:cstheme="minorHAnsi"/>
          <w:color w:val="555555"/>
          <w:shd w:val="clear" w:color="auto" w:fill="FFFFFF"/>
          <w:lang w:val="en-US"/>
        </w:rPr>
      </w:pPr>
    </w:p>
    <w:p w:rsidR="00AC5AD2" w:rsidRPr="00F31029" w:rsidRDefault="00AC5AD2">
      <w:pPr>
        <w:rPr>
          <w:rFonts w:cstheme="minorHAnsi"/>
          <w:lang w:val="en-US"/>
        </w:rPr>
      </w:pPr>
    </w:p>
    <w:sectPr w:rsidR="00AC5AD2" w:rsidRPr="00F31029" w:rsidSect="0052252A">
      <w:footerReference w:type="defaul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000" w:rsidRDefault="00C01000" w:rsidP="0052252A">
      <w:pPr>
        <w:spacing w:after="0" w:line="240" w:lineRule="auto"/>
      </w:pPr>
      <w:r>
        <w:separator/>
      </w:r>
    </w:p>
  </w:endnote>
  <w:endnote w:type="continuationSeparator" w:id="0">
    <w:p w:rsidR="00C01000" w:rsidRDefault="00C01000" w:rsidP="00522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85016"/>
      <w:docPartObj>
        <w:docPartGallery w:val="Page Numbers (Bottom of Page)"/>
        <w:docPartUnique/>
      </w:docPartObj>
    </w:sdtPr>
    <w:sdtEndPr/>
    <w:sdtContent>
      <w:p w:rsidR="00E40460" w:rsidRDefault="00C01000">
        <w:pPr>
          <w:pStyle w:val="Footer"/>
          <w:jc w:val="right"/>
        </w:pPr>
        <w:r>
          <w:fldChar w:fldCharType="begin"/>
        </w:r>
        <w:r>
          <w:instrText xml:space="preserve"> PAGE   \* MERGEFORMAT </w:instrText>
        </w:r>
        <w:r>
          <w:fldChar w:fldCharType="separate"/>
        </w:r>
        <w:r w:rsidR="00EE1E1B">
          <w:rPr>
            <w:noProof/>
          </w:rPr>
          <w:t>10</w:t>
        </w:r>
        <w:r>
          <w:rPr>
            <w:noProof/>
          </w:rPr>
          <w:fldChar w:fldCharType="end"/>
        </w:r>
      </w:p>
    </w:sdtContent>
  </w:sdt>
  <w:p w:rsidR="00E40460" w:rsidRDefault="00E404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000" w:rsidRDefault="00C01000" w:rsidP="0052252A">
      <w:pPr>
        <w:spacing w:after="0" w:line="240" w:lineRule="auto"/>
      </w:pPr>
      <w:r>
        <w:separator/>
      </w:r>
    </w:p>
  </w:footnote>
  <w:footnote w:type="continuationSeparator" w:id="0">
    <w:p w:rsidR="00C01000" w:rsidRDefault="00C01000" w:rsidP="005225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93C2E"/>
    <w:multiLevelType w:val="hybridMultilevel"/>
    <w:tmpl w:val="D154FE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E8F5F57"/>
    <w:multiLevelType w:val="hybridMultilevel"/>
    <w:tmpl w:val="9754E9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37B0977"/>
    <w:multiLevelType w:val="hybridMultilevel"/>
    <w:tmpl w:val="B0482CD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E9F"/>
    <w:rsid w:val="00035C0B"/>
    <w:rsid w:val="000B5875"/>
    <w:rsid w:val="00117DFE"/>
    <w:rsid w:val="00140DE6"/>
    <w:rsid w:val="001D33E7"/>
    <w:rsid w:val="001E401F"/>
    <w:rsid w:val="002317C8"/>
    <w:rsid w:val="002627A0"/>
    <w:rsid w:val="002B3ED7"/>
    <w:rsid w:val="00372B29"/>
    <w:rsid w:val="003E1D6E"/>
    <w:rsid w:val="00416EAF"/>
    <w:rsid w:val="004540C5"/>
    <w:rsid w:val="00486AD0"/>
    <w:rsid w:val="00496FEA"/>
    <w:rsid w:val="004B0EBB"/>
    <w:rsid w:val="004D19AE"/>
    <w:rsid w:val="00521183"/>
    <w:rsid w:val="0052252A"/>
    <w:rsid w:val="00540217"/>
    <w:rsid w:val="005D5B98"/>
    <w:rsid w:val="006604E4"/>
    <w:rsid w:val="006D3E51"/>
    <w:rsid w:val="006D68C3"/>
    <w:rsid w:val="007B389B"/>
    <w:rsid w:val="007D7213"/>
    <w:rsid w:val="00853AA4"/>
    <w:rsid w:val="008712F8"/>
    <w:rsid w:val="008C15DD"/>
    <w:rsid w:val="00931952"/>
    <w:rsid w:val="00954825"/>
    <w:rsid w:val="009C2C8A"/>
    <w:rsid w:val="009F7E9F"/>
    <w:rsid w:val="00A130F1"/>
    <w:rsid w:val="00A137BF"/>
    <w:rsid w:val="00A25AC2"/>
    <w:rsid w:val="00AC5AD2"/>
    <w:rsid w:val="00BC1FCC"/>
    <w:rsid w:val="00BC6F50"/>
    <w:rsid w:val="00C01000"/>
    <w:rsid w:val="00C453CE"/>
    <w:rsid w:val="00C47C90"/>
    <w:rsid w:val="00CA6378"/>
    <w:rsid w:val="00CB6442"/>
    <w:rsid w:val="00E40460"/>
    <w:rsid w:val="00E531A7"/>
    <w:rsid w:val="00E90D2E"/>
    <w:rsid w:val="00E93C11"/>
    <w:rsid w:val="00EA4C6A"/>
    <w:rsid w:val="00EB0685"/>
    <w:rsid w:val="00EE1E1B"/>
    <w:rsid w:val="00F04F72"/>
    <w:rsid w:val="00F23405"/>
    <w:rsid w:val="00F310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BE79D0-456D-4F2C-9FBD-7E6C505F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875"/>
  </w:style>
  <w:style w:type="paragraph" w:styleId="Heading1">
    <w:name w:val="heading 1"/>
    <w:basedOn w:val="Normal"/>
    <w:next w:val="Normal"/>
    <w:link w:val="Heading1Char"/>
    <w:uiPriority w:val="9"/>
    <w:qFormat/>
    <w:rsid w:val="00E93C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C1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453C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unhideWhenUsed/>
    <w:rsid w:val="00117DFE"/>
    <w:rPr>
      <w:color w:val="0000FF"/>
      <w:u w:val="single"/>
    </w:rPr>
  </w:style>
  <w:style w:type="paragraph" w:styleId="NoSpacing">
    <w:name w:val="No Spacing"/>
    <w:link w:val="NoSpacingChar"/>
    <w:uiPriority w:val="1"/>
    <w:qFormat/>
    <w:rsid w:val="0052252A"/>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52252A"/>
    <w:rPr>
      <w:rFonts w:eastAsiaTheme="minorEastAsia"/>
      <w:lang w:val="es-ES"/>
    </w:rPr>
  </w:style>
  <w:style w:type="paragraph" w:styleId="BalloonText">
    <w:name w:val="Balloon Text"/>
    <w:basedOn w:val="Normal"/>
    <w:link w:val="BalloonTextChar"/>
    <w:uiPriority w:val="99"/>
    <w:semiHidden/>
    <w:unhideWhenUsed/>
    <w:rsid w:val="00522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52A"/>
    <w:rPr>
      <w:rFonts w:ascii="Tahoma" w:hAnsi="Tahoma" w:cs="Tahoma"/>
      <w:sz w:val="16"/>
      <w:szCs w:val="16"/>
    </w:rPr>
  </w:style>
  <w:style w:type="paragraph" w:styleId="Header">
    <w:name w:val="header"/>
    <w:basedOn w:val="Normal"/>
    <w:link w:val="HeaderChar"/>
    <w:uiPriority w:val="99"/>
    <w:semiHidden/>
    <w:unhideWhenUsed/>
    <w:rsid w:val="0052252A"/>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52252A"/>
  </w:style>
  <w:style w:type="paragraph" w:styleId="Footer">
    <w:name w:val="footer"/>
    <w:basedOn w:val="Normal"/>
    <w:link w:val="FooterChar"/>
    <w:uiPriority w:val="99"/>
    <w:unhideWhenUsed/>
    <w:rsid w:val="0052252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2252A"/>
  </w:style>
  <w:style w:type="paragraph" w:styleId="TOCHeading">
    <w:name w:val="TOC Heading"/>
    <w:basedOn w:val="Heading1"/>
    <w:next w:val="Normal"/>
    <w:uiPriority w:val="39"/>
    <w:semiHidden/>
    <w:unhideWhenUsed/>
    <w:qFormat/>
    <w:rsid w:val="0052252A"/>
    <w:pPr>
      <w:outlineLvl w:val="9"/>
    </w:pPr>
    <w:rPr>
      <w:lang w:val="es-ES"/>
    </w:rPr>
  </w:style>
  <w:style w:type="paragraph" w:styleId="TOC1">
    <w:name w:val="toc 1"/>
    <w:basedOn w:val="Normal"/>
    <w:next w:val="Normal"/>
    <w:autoRedefine/>
    <w:uiPriority w:val="39"/>
    <w:unhideWhenUsed/>
    <w:rsid w:val="0052252A"/>
    <w:pPr>
      <w:spacing w:after="100"/>
    </w:pPr>
  </w:style>
  <w:style w:type="character" w:styleId="Emphasis">
    <w:name w:val="Emphasis"/>
    <w:basedOn w:val="DefaultParagraphFont"/>
    <w:uiPriority w:val="20"/>
    <w:qFormat/>
    <w:rsid w:val="00F31029"/>
    <w:rPr>
      <w:i/>
      <w:iCs/>
    </w:rPr>
  </w:style>
  <w:style w:type="character" w:customStyle="1" w:styleId="apple-converted-space">
    <w:name w:val="apple-converted-space"/>
    <w:basedOn w:val="DefaultParagraphFont"/>
    <w:rsid w:val="00F31029"/>
  </w:style>
  <w:style w:type="paragraph" w:styleId="ListParagraph">
    <w:name w:val="List Paragraph"/>
    <w:basedOn w:val="Normal"/>
    <w:uiPriority w:val="34"/>
    <w:qFormat/>
    <w:rsid w:val="00496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642932">
      <w:bodyDiv w:val="1"/>
      <w:marLeft w:val="0"/>
      <w:marRight w:val="0"/>
      <w:marTop w:val="0"/>
      <w:marBottom w:val="0"/>
      <w:divBdr>
        <w:top w:val="none" w:sz="0" w:space="0" w:color="auto"/>
        <w:left w:val="none" w:sz="0" w:space="0" w:color="auto"/>
        <w:bottom w:val="none" w:sz="0" w:space="0" w:color="auto"/>
        <w:right w:val="none" w:sz="0" w:space="0" w:color="auto"/>
      </w:divBdr>
    </w:div>
    <w:div w:id="617220925">
      <w:bodyDiv w:val="1"/>
      <w:marLeft w:val="0"/>
      <w:marRight w:val="0"/>
      <w:marTop w:val="0"/>
      <w:marBottom w:val="0"/>
      <w:divBdr>
        <w:top w:val="none" w:sz="0" w:space="0" w:color="auto"/>
        <w:left w:val="none" w:sz="0" w:space="0" w:color="auto"/>
        <w:bottom w:val="none" w:sz="0" w:space="0" w:color="auto"/>
        <w:right w:val="none" w:sz="0" w:space="0" w:color="auto"/>
      </w:divBdr>
    </w:div>
    <w:div w:id="729353658">
      <w:bodyDiv w:val="1"/>
      <w:marLeft w:val="0"/>
      <w:marRight w:val="0"/>
      <w:marTop w:val="0"/>
      <w:marBottom w:val="0"/>
      <w:divBdr>
        <w:top w:val="none" w:sz="0" w:space="0" w:color="auto"/>
        <w:left w:val="none" w:sz="0" w:space="0" w:color="auto"/>
        <w:bottom w:val="none" w:sz="0" w:space="0" w:color="auto"/>
        <w:right w:val="none" w:sz="0" w:space="0" w:color="auto"/>
      </w:divBdr>
    </w:div>
    <w:div w:id="812991741">
      <w:bodyDiv w:val="1"/>
      <w:marLeft w:val="0"/>
      <w:marRight w:val="0"/>
      <w:marTop w:val="0"/>
      <w:marBottom w:val="0"/>
      <w:divBdr>
        <w:top w:val="none" w:sz="0" w:space="0" w:color="auto"/>
        <w:left w:val="none" w:sz="0" w:space="0" w:color="auto"/>
        <w:bottom w:val="none" w:sz="0" w:space="0" w:color="auto"/>
        <w:right w:val="none" w:sz="0" w:space="0" w:color="auto"/>
      </w:divBdr>
    </w:div>
    <w:div w:id="181005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fomall.org/I590ABDSSoftware/Resources/Magic%20Quadrant%20for%20Cloud%20Infrastructure%20as%20a%20Service.pdf"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revista.seguridad.unam.mx/numero-08/c%C3%B3mputo-en-nube-ventajas-y-desventajas"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ravila.wordpress.com/2015/09/02/cloud-comput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BA2F70ED2F429E8FA547B303FDAC1B"/>
        <w:category>
          <w:name w:val="General"/>
          <w:gallery w:val="placeholder"/>
        </w:category>
        <w:types>
          <w:type w:val="bbPlcHdr"/>
        </w:types>
        <w:behaviors>
          <w:behavior w:val="content"/>
        </w:behaviors>
        <w:guid w:val="{65A44CB8-4DEC-4188-9E99-322D6ED66236}"/>
      </w:docPartPr>
      <w:docPartBody>
        <w:p w:rsidR="00093C77" w:rsidRDefault="00093C77" w:rsidP="00093C77">
          <w:pPr>
            <w:pStyle w:val="68BA2F70ED2F429E8FA547B303FDAC1B"/>
          </w:pPr>
          <w:r>
            <w:rPr>
              <w:rFonts w:asciiTheme="majorHAnsi" w:eastAsiaTheme="majorEastAsia" w:hAnsiTheme="majorHAnsi" w:cstheme="majorBidi"/>
              <w:caps/>
              <w:lang w:val="es-ES"/>
            </w:rPr>
            <w:t>[Escribir el nombre de la compañía]</w:t>
          </w:r>
        </w:p>
      </w:docPartBody>
    </w:docPart>
    <w:docPart>
      <w:docPartPr>
        <w:name w:val="BA21C7352DBF4350B66A6490711A834A"/>
        <w:category>
          <w:name w:val="General"/>
          <w:gallery w:val="placeholder"/>
        </w:category>
        <w:types>
          <w:type w:val="bbPlcHdr"/>
        </w:types>
        <w:behaviors>
          <w:behavior w:val="content"/>
        </w:behaviors>
        <w:guid w:val="{79CF9858-975D-47A5-91D4-2D654F57B1CB}"/>
      </w:docPartPr>
      <w:docPartBody>
        <w:p w:rsidR="00093C77" w:rsidRDefault="00093C77" w:rsidP="00093C77">
          <w:pPr>
            <w:pStyle w:val="BA21C7352DBF4350B66A6490711A834A"/>
          </w:pPr>
          <w:r>
            <w:rPr>
              <w:rFonts w:asciiTheme="majorHAnsi" w:eastAsiaTheme="majorEastAsia" w:hAnsiTheme="majorHAnsi" w:cstheme="majorBidi"/>
              <w:sz w:val="80"/>
              <w:szCs w:val="80"/>
              <w:lang w:val="es-ES"/>
            </w:rPr>
            <w:t>[Escribir el título del documento]</w:t>
          </w:r>
        </w:p>
      </w:docPartBody>
    </w:docPart>
    <w:docPart>
      <w:docPartPr>
        <w:name w:val="4D543ADBE16B4DCABA80B443AE5A3BF6"/>
        <w:category>
          <w:name w:val="General"/>
          <w:gallery w:val="placeholder"/>
        </w:category>
        <w:types>
          <w:type w:val="bbPlcHdr"/>
        </w:types>
        <w:behaviors>
          <w:behavior w:val="content"/>
        </w:behaviors>
        <w:guid w:val="{55E666A2-87E7-4D32-9698-45711B6EC23E}"/>
      </w:docPartPr>
      <w:docPartBody>
        <w:p w:rsidR="00093C77" w:rsidRDefault="00093C77" w:rsidP="00093C77">
          <w:pPr>
            <w:pStyle w:val="4D543ADBE16B4DCABA80B443AE5A3BF6"/>
          </w:pPr>
          <w:r>
            <w:rPr>
              <w:rFonts w:asciiTheme="majorHAnsi" w:eastAsiaTheme="majorEastAsia" w:hAnsiTheme="majorHAnsi" w:cstheme="majorBidi"/>
              <w:sz w:val="44"/>
              <w:szCs w:val="44"/>
              <w:lang w:val="es-ES"/>
            </w:rPr>
            <w:t>[Escribir el subtítulo del documento]</w:t>
          </w:r>
        </w:p>
      </w:docPartBody>
    </w:docPart>
    <w:docPart>
      <w:docPartPr>
        <w:name w:val="52868E074222455491E773482FF973BB"/>
        <w:category>
          <w:name w:val="General"/>
          <w:gallery w:val="placeholder"/>
        </w:category>
        <w:types>
          <w:type w:val="bbPlcHdr"/>
        </w:types>
        <w:behaviors>
          <w:behavior w:val="content"/>
        </w:behaviors>
        <w:guid w:val="{F3FDDB80-78AF-4C6E-AB51-F086A9716E4B}"/>
      </w:docPartPr>
      <w:docPartBody>
        <w:p w:rsidR="00093C77" w:rsidRDefault="00093C77" w:rsidP="00093C77">
          <w:pPr>
            <w:pStyle w:val="52868E074222455491E773482FF973BB"/>
          </w:pPr>
          <w:r>
            <w:rPr>
              <w:b/>
              <w:bCs/>
              <w:lang w:val="es-ES"/>
            </w:rPr>
            <w:t>[Escribir el nombre del autor]</w:t>
          </w:r>
        </w:p>
      </w:docPartBody>
    </w:docPart>
    <w:docPart>
      <w:docPartPr>
        <w:name w:val="814D79A67DB14973804D50701D49AEF6"/>
        <w:category>
          <w:name w:val="General"/>
          <w:gallery w:val="placeholder"/>
        </w:category>
        <w:types>
          <w:type w:val="bbPlcHdr"/>
        </w:types>
        <w:behaviors>
          <w:behavior w:val="content"/>
        </w:behaviors>
        <w:guid w:val="{89EF6797-CA61-47F7-BAE5-5D682C78941B}"/>
      </w:docPartPr>
      <w:docPartBody>
        <w:p w:rsidR="00093C77" w:rsidRDefault="00093C77" w:rsidP="00093C77">
          <w:pPr>
            <w:pStyle w:val="814D79A67DB14973804D50701D49AEF6"/>
          </w:pPr>
          <w:r>
            <w:rPr>
              <w:b/>
              <w:bCs/>
              <w:lang w:val="es-E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093C77"/>
    <w:rsid w:val="00093C77"/>
    <w:rsid w:val="009C01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BA2F70ED2F429E8FA547B303FDAC1B">
    <w:name w:val="68BA2F70ED2F429E8FA547B303FDAC1B"/>
    <w:rsid w:val="00093C77"/>
  </w:style>
  <w:style w:type="paragraph" w:customStyle="1" w:styleId="BA21C7352DBF4350B66A6490711A834A">
    <w:name w:val="BA21C7352DBF4350B66A6490711A834A"/>
    <w:rsid w:val="00093C77"/>
  </w:style>
  <w:style w:type="paragraph" w:customStyle="1" w:styleId="4D543ADBE16B4DCABA80B443AE5A3BF6">
    <w:name w:val="4D543ADBE16B4DCABA80B443AE5A3BF6"/>
    <w:rsid w:val="00093C77"/>
  </w:style>
  <w:style w:type="paragraph" w:customStyle="1" w:styleId="52868E074222455491E773482FF973BB">
    <w:name w:val="52868E074222455491E773482FF973BB"/>
    <w:rsid w:val="00093C77"/>
  </w:style>
  <w:style w:type="paragraph" w:customStyle="1" w:styleId="814D79A67DB14973804D50701D49AEF6">
    <w:name w:val="814D79A67DB14973804D50701D49AEF6"/>
    <w:rsid w:val="00093C77"/>
  </w:style>
  <w:style w:type="paragraph" w:customStyle="1" w:styleId="F93BC990A75E4DCFB12B2CD62BE46D01">
    <w:name w:val="F93BC990A75E4DCFB12B2CD62BE46D01"/>
    <w:rsid w:val="00093C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B3AD38-023F-4B59-AB80-4D49D8FAB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10</Pages>
  <Words>2223</Words>
  <Characters>12229</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PROPUESTA TECNOLÓGICA</vt:lpstr>
      <vt:lpstr/>
    </vt:vector>
  </TitlesOfParts>
  <Company>instituto politecnico nacional unidad profesional  interdisciplinaria  de ingeniería  y ciencias sociales administrativas</Company>
  <LinksUpToDate>false</LinksUpToDate>
  <CharactersWithSpaces>14424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TECNOLÓGICA</dc:title>
  <dc:subject>Tarea 1</dc:subject>
  <dc:creator>Fabián Ramírez Galindo</dc:creator>
  <cp:lastModifiedBy>Fabian Ramirez Galindo</cp:lastModifiedBy>
  <cp:revision>4</cp:revision>
  <dcterms:created xsi:type="dcterms:W3CDTF">2015-09-20T00:00:00Z</dcterms:created>
  <dcterms:modified xsi:type="dcterms:W3CDTF">2015-09-21T22:46:00Z</dcterms:modified>
</cp:coreProperties>
</file>