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  <w:jc w:val="center"/>
      </w:pPr>
      <w:r>
        <w:rPr>
          <w:sz w:val="96"/>
        </w:rPr>
        <w:t>🐇</w:t>
      </w:r>
    </w:p>
    <w:p>
      <w:pPr>
        <w:pStyle w:val="Title"/>
        <w:spacing w:before="0" w:after="240"/>
        <w:jc w:val="center"/>
      </w:pPr>
      <w:r>
        <w:rPr>
          <w:rFonts w:ascii="Calibri" w:hAnsi="Calibri"/>
          <w:b/>
          <w:color w:val="1A5C2E"/>
          <w:sz w:val="52"/>
        </w:rPr>
        <w:t>Red Argentina de Cunicultura</w:t>
      </w:r>
    </w:p>
    <w:p>
      <w:pPr>
        <w:spacing w:before="0" w:after="80"/>
        <w:jc w:val="center"/>
      </w:pPr>
      <w:r>
        <w:rPr>
          <w:rFonts w:ascii="Calibri" w:hAnsi="Calibri"/>
          <w:i/>
          <w:color w:val="6B7280"/>
          <w:sz w:val="32"/>
        </w:rPr>
        <w:t>Documentación Técnica del Sitio Web</w:t>
      </w:r>
    </w:p>
    <w:p>
      <w:pPr>
        <w:spacing w:before="0" w:after="800"/>
        <w:jc w:val="center"/>
      </w:pPr>
      <w:r>
        <w:rPr>
          <w:rFonts w:ascii="Calibri" w:hAnsi="Calibri"/>
          <w:color w:val="6B7280"/>
          <w:sz w:val="22"/>
        </w:rPr>
        <w:t>Versión 1.0  ·  Abril 2025</w:t>
      </w:r>
    </w:p>
    <w:p>
      <w:pPr>
        <w:pBdr>
          <w:bottom w:val="single" w:sz="6" w:space="1" w:color="4a9e65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5C2E"/>
          <w:sz w:val="40"/>
        </w:rPr>
        <w:t>Índice</w:t>
      </w:r>
    </w:p>
    <w:p>
      <w:pPr>
        <w:spacing w:before="0" w:after="80"/>
      </w:pPr>
      <w:r>
        <w:rPr>
          <w:rFonts w:ascii="Calibri" w:hAnsi="Calibri"/>
          <w:b/>
          <w:color w:val="2D7A47"/>
          <w:sz w:val="22"/>
        </w:rPr>
        <w:t xml:space="preserve">1.  </w:t>
      </w:r>
      <w:r>
        <w:rPr>
          <w:rFonts w:ascii="Calibri" w:hAnsi="Calibri"/>
          <w:color w:val="374151"/>
          <w:sz w:val="22"/>
        </w:rPr>
        <w:t>Descripción general del proyecto</w:t>
      </w:r>
    </w:p>
    <w:p>
      <w:pPr>
        <w:spacing w:before="0" w:after="80"/>
      </w:pPr>
      <w:r>
        <w:rPr>
          <w:rFonts w:ascii="Calibri" w:hAnsi="Calibri"/>
          <w:b/>
          <w:color w:val="2D7A47"/>
          <w:sz w:val="22"/>
        </w:rPr>
        <w:t xml:space="preserve">2.  </w:t>
      </w:r>
      <w:r>
        <w:rPr>
          <w:rFonts w:ascii="Calibri" w:hAnsi="Calibri"/>
          <w:color w:val="374151"/>
          <w:sz w:val="22"/>
        </w:rPr>
        <w:t>Stack tecnológico</w:t>
      </w:r>
    </w:p>
    <w:p>
      <w:pPr>
        <w:spacing w:before="0" w:after="80"/>
      </w:pPr>
      <w:r>
        <w:rPr>
          <w:rFonts w:ascii="Calibri" w:hAnsi="Calibri"/>
          <w:b/>
          <w:color w:val="2D7A47"/>
          <w:sz w:val="22"/>
        </w:rPr>
        <w:t xml:space="preserve">3.  </w:t>
      </w:r>
      <w:r>
        <w:rPr>
          <w:rFonts w:ascii="Calibri" w:hAnsi="Calibri"/>
          <w:color w:val="374151"/>
          <w:sz w:val="22"/>
        </w:rPr>
        <w:t>Estructura de directorios</w:t>
      </w:r>
    </w:p>
    <w:p>
      <w:pPr>
        <w:spacing w:before="0" w:after="80"/>
      </w:pPr>
      <w:r>
        <w:rPr>
          <w:rFonts w:ascii="Calibri" w:hAnsi="Calibri"/>
          <w:b/>
          <w:color w:val="2D7A47"/>
          <w:sz w:val="22"/>
        </w:rPr>
        <w:t xml:space="preserve">4.  </w:t>
      </w:r>
      <w:r>
        <w:rPr>
          <w:rFonts w:ascii="Calibri" w:hAnsi="Calibri"/>
          <w:color w:val="374151"/>
          <w:sz w:val="22"/>
        </w:rPr>
        <w:t>Instalación y ejecución</w:t>
      </w:r>
    </w:p>
    <w:p>
      <w:pPr>
        <w:spacing w:before="0" w:after="80"/>
      </w:pPr>
      <w:r>
        <w:rPr>
          <w:rFonts w:ascii="Calibri" w:hAnsi="Calibri"/>
          <w:b/>
          <w:color w:val="2D7A47"/>
          <w:sz w:val="22"/>
        </w:rPr>
        <w:t xml:space="preserve">5.  </w:t>
      </w:r>
      <w:r>
        <w:rPr>
          <w:rFonts w:ascii="Calibri" w:hAnsi="Calibri"/>
          <w:color w:val="374151"/>
          <w:sz w:val="22"/>
        </w:rPr>
        <w:t>Sistema de diseño (Design System)</w:t>
      </w:r>
    </w:p>
    <w:p>
      <w:pPr>
        <w:spacing w:before="0" w:after="80"/>
      </w:pPr>
      <w:r>
        <w:rPr>
          <w:rFonts w:ascii="Calibri" w:hAnsi="Calibri"/>
          <w:b/>
          <w:color w:val="2D7A47"/>
          <w:sz w:val="22"/>
        </w:rPr>
        <w:t xml:space="preserve">6.  </w:t>
      </w:r>
      <w:r>
        <w:rPr>
          <w:rFonts w:ascii="Calibri" w:hAnsi="Calibri"/>
          <w:color w:val="374151"/>
          <w:sz w:val="22"/>
        </w:rPr>
        <w:t>Componentes</w:t>
      </w:r>
    </w:p>
    <w:p>
      <w:pPr>
        <w:spacing w:before="0" w:after="80"/>
      </w:pPr>
      <w:r>
        <w:rPr>
          <w:rFonts w:ascii="Calibri" w:hAnsi="Calibri"/>
          <w:b/>
          <w:color w:val="2D7A47"/>
          <w:sz w:val="22"/>
        </w:rPr>
        <w:t xml:space="preserve">    6.1  </w:t>
      </w:r>
      <w:r>
        <w:rPr>
          <w:rFonts w:ascii="Calibri" w:hAnsi="Calibri"/>
          <w:color w:val="374151"/>
          <w:sz w:val="22"/>
        </w:rPr>
        <w:t>Navbar</w:t>
      </w:r>
    </w:p>
    <w:p>
      <w:pPr>
        <w:spacing w:before="0" w:after="80"/>
      </w:pPr>
      <w:r>
        <w:rPr>
          <w:rFonts w:ascii="Calibri" w:hAnsi="Calibri"/>
          <w:b/>
          <w:color w:val="2D7A47"/>
          <w:sz w:val="22"/>
        </w:rPr>
        <w:t xml:space="preserve">    6.2  </w:t>
      </w:r>
      <w:r>
        <w:rPr>
          <w:rFonts w:ascii="Calibri" w:hAnsi="Calibri"/>
          <w:color w:val="374151"/>
          <w:sz w:val="22"/>
        </w:rPr>
        <w:t>Hero</w:t>
      </w:r>
    </w:p>
    <w:p>
      <w:pPr>
        <w:spacing w:before="0" w:after="80"/>
      </w:pPr>
      <w:r>
        <w:rPr>
          <w:rFonts w:ascii="Calibri" w:hAnsi="Calibri"/>
          <w:b/>
          <w:color w:val="2D7A47"/>
          <w:sz w:val="22"/>
        </w:rPr>
        <w:t xml:space="preserve">    6.3  </w:t>
      </w:r>
      <w:r>
        <w:rPr>
          <w:rFonts w:ascii="Calibri" w:hAnsi="Calibri"/>
          <w:color w:val="374151"/>
          <w:sz w:val="22"/>
        </w:rPr>
        <w:t>About (Quiénes Somos)</w:t>
      </w:r>
    </w:p>
    <w:p>
      <w:pPr>
        <w:spacing w:before="0" w:after="80"/>
      </w:pPr>
      <w:r>
        <w:rPr>
          <w:rFonts w:ascii="Calibri" w:hAnsi="Calibri"/>
          <w:b/>
          <w:color w:val="2D7A47"/>
          <w:sz w:val="22"/>
        </w:rPr>
        <w:t xml:space="preserve">    6.4  </w:t>
      </w:r>
      <w:r>
        <w:rPr>
          <w:rFonts w:ascii="Calibri" w:hAnsi="Calibri"/>
          <w:color w:val="374151"/>
          <w:sz w:val="22"/>
        </w:rPr>
        <w:t>VideoSection</w:t>
      </w:r>
    </w:p>
    <w:p>
      <w:pPr>
        <w:spacing w:before="0" w:after="80"/>
      </w:pPr>
      <w:r>
        <w:rPr>
          <w:rFonts w:ascii="Calibri" w:hAnsi="Calibri"/>
          <w:b/>
          <w:color w:val="2D7A47"/>
          <w:sz w:val="22"/>
        </w:rPr>
        <w:t xml:space="preserve">    6.5  </w:t>
      </w:r>
      <w:r>
        <w:rPr>
          <w:rFonts w:ascii="Calibri" w:hAnsi="Calibri"/>
          <w:color w:val="374151"/>
          <w:sz w:val="22"/>
        </w:rPr>
        <w:t>Congress (Congreso)</w:t>
      </w:r>
    </w:p>
    <w:p>
      <w:pPr>
        <w:spacing w:before="0" w:after="80"/>
      </w:pPr>
      <w:r>
        <w:rPr>
          <w:rFonts w:ascii="Calibri" w:hAnsi="Calibri"/>
          <w:b/>
          <w:color w:val="2D7A47"/>
          <w:sz w:val="22"/>
        </w:rPr>
        <w:t xml:space="preserve">    6.6  </w:t>
      </w:r>
      <w:r>
        <w:rPr>
          <w:rFonts w:ascii="Calibri" w:hAnsi="Calibri"/>
          <w:color w:val="374151"/>
          <w:sz w:val="22"/>
        </w:rPr>
        <w:t>Publications (Publicaciones)</w:t>
      </w:r>
    </w:p>
    <w:p>
      <w:pPr>
        <w:spacing w:before="0" w:after="80"/>
      </w:pPr>
      <w:r>
        <w:rPr>
          <w:rFonts w:ascii="Calibri" w:hAnsi="Calibri"/>
          <w:b/>
          <w:color w:val="2D7A47"/>
          <w:sz w:val="22"/>
        </w:rPr>
        <w:t xml:space="preserve">    6.7  </w:t>
      </w:r>
      <w:r>
        <w:rPr>
          <w:rFonts w:ascii="Calibri" w:hAnsi="Calibri"/>
          <w:color w:val="374151"/>
          <w:sz w:val="22"/>
        </w:rPr>
        <w:t>Contact (Contacto)</w:t>
      </w:r>
    </w:p>
    <w:p>
      <w:pPr>
        <w:spacing w:before="0" w:after="80"/>
      </w:pPr>
      <w:r>
        <w:rPr>
          <w:rFonts w:ascii="Calibri" w:hAnsi="Calibri"/>
          <w:b/>
          <w:color w:val="2D7A47"/>
          <w:sz w:val="22"/>
        </w:rPr>
        <w:t xml:space="preserve">    6.8  </w:t>
      </w:r>
      <w:r>
        <w:rPr>
          <w:rFonts w:ascii="Calibri" w:hAnsi="Calibri"/>
          <w:color w:val="374151"/>
          <w:sz w:val="22"/>
        </w:rPr>
        <w:t>Footer</w:t>
      </w:r>
    </w:p>
    <w:p>
      <w:pPr>
        <w:spacing w:before="0" w:after="80"/>
      </w:pPr>
      <w:r>
        <w:rPr>
          <w:rFonts w:ascii="Calibri" w:hAnsi="Calibri"/>
          <w:b/>
          <w:color w:val="2D7A47"/>
          <w:sz w:val="22"/>
        </w:rPr>
        <w:t xml:space="preserve">7.  </w:t>
      </w:r>
      <w:r>
        <w:rPr>
          <w:rFonts w:ascii="Calibri" w:hAnsi="Calibri"/>
          <w:color w:val="374151"/>
          <w:sz w:val="22"/>
        </w:rPr>
        <w:t>Contenido y datos</w:t>
      </w:r>
    </w:p>
    <w:p>
      <w:pPr>
        <w:spacing w:before="0" w:after="80"/>
      </w:pPr>
      <w:r>
        <w:rPr>
          <w:rFonts w:ascii="Calibri" w:hAnsi="Calibri"/>
          <w:b/>
          <w:color w:val="2D7A47"/>
          <w:sz w:val="22"/>
        </w:rPr>
        <w:t xml:space="preserve">8.  </w:t>
      </w:r>
      <w:r>
        <w:rPr>
          <w:rFonts w:ascii="Calibri" w:hAnsi="Calibri"/>
          <w:color w:val="374151"/>
          <w:sz w:val="22"/>
        </w:rPr>
        <w:t>Responsive Design</w:t>
      </w:r>
    </w:p>
    <w:p>
      <w:pPr>
        <w:spacing w:before="0" w:after="80"/>
      </w:pPr>
      <w:r>
        <w:rPr>
          <w:rFonts w:ascii="Calibri" w:hAnsi="Calibri"/>
          <w:b/>
          <w:color w:val="2D7A47"/>
          <w:sz w:val="22"/>
        </w:rPr>
        <w:t xml:space="preserve">9.  </w:t>
      </w:r>
      <w:r>
        <w:rPr>
          <w:rFonts w:ascii="Calibri" w:hAnsi="Calibri"/>
          <w:color w:val="374151"/>
          <w:sz w:val="22"/>
        </w:rPr>
        <w:t>SEO y accesibilidad</w:t>
      </w:r>
    </w:p>
    <w:p>
      <w:pPr>
        <w:spacing w:before="0" w:after="80"/>
      </w:pPr>
      <w:r>
        <w:rPr>
          <w:rFonts w:ascii="Calibri" w:hAnsi="Calibri"/>
          <w:b/>
          <w:color w:val="2D7A47"/>
          <w:sz w:val="22"/>
        </w:rPr>
        <w:t xml:space="preserve">10.  </w:t>
      </w:r>
      <w:r>
        <w:rPr>
          <w:rFonts w:ascii="Calibri" w:hAnsi="Calibri"/>
          <w:color w:val="374151"/>
          <w:sz w:val="22"/>
        </w:rPr>
        <w:t>Construcción y despliegue</w:t>
      </w:r>
    </w:p>
    <w:p>
      <w:pPr>
        <w:spacing w:before="0" w:after="80"/>
      </w:pPr>
      <w:r>
        <w:rPr>
          <w:rFonts w:ascii="Calibri" w:hAnsi="Calibri"/>
          <w:b/>
          <w:color w:val="2D7A47"/>
          <w:sz w:val="22"/>
        </w:rPr>
        <w:t xml:space="preserve">11.  </w:t>
      </w:r>
      <w:r>
        <w:rPr>
          <w:rFonts w:ascii="Calibri" w:hAnsi="Calibri"/>
          <w:color w:val="374151"/>
          <w:sz w:val="22"/>
        </w:rPr>
        <w:t>Guía de mantenimiento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5C2E"/>
          <w:sz w:val="40"/>
        </w:rPr>
        <w:t>1. Descripción General del Proyecto</w:t>
      </w:r>
    </w:p>
    <w:p>
      <w:pPr>
        <w:pBdr>
          <w:bottom w:val="single" w:sz="6" w:space="1" w:color="4a9e65"/>
        </w:pBdr>
        <w:spacing w:before="120" w:after="120"/>
      </w:pP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El sitio web de la Red Argentina de Cunicultura (RAC) es una aplicación web de una sola página (SPA) construida con React + Vite. Su objetivo es ser la plataforma digital institucional de la RAC, ofreciendo información sobre la organización, sus publicaciones, el VIII Congreso Americano de Cunicultura y los canales de contacto.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La interfaz está diseñada con identidad visual propia inspirada en el estilo de INTA, utilizando una paleta de verdes y azules institucionales. Es completamente responsive y accesible desde dispositivos móviles, tablets y escritorios.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Objetivos del sitio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Presentar institucionalmente a la RAC (historia, misión y visión).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Difundir el VIII Congreso Americano de Cunicultura 2025 con toda la información para participantes.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Centralizar las publicaciones de interés del sector cunícola.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Facilitar el contacto con la organización a través de redes sociales y formulario.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Mostrar estadísticas clave de la actividad cunícola argentina.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URL y acceso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Desarrollo local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http://localhost:5173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Comando dev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npm run dev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Build de producción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npm run build → carpeta dist/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5C2E"/>
          <w:sz w:val="40"/>
        </w:rPr>
        <w:t>2. Stack Tecnológico</w:t>
      </w:r>
    </w:p>
    <w:p>
      <w:pPr>
        <w:pBdr>
          <w:bottom w:val="single" w:sz="6" w:space="1" w:color="4a9e65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Dependencias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React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19.2.4  — Biblioteca principal de UI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React DOM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19.2.4  — Renderizado en el navegador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Vite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8.0.4   — Bundler y servidor de desarrollo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react-router-dom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7.14.0  — Enrutamiento (disponible para expansión futura)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lucide-react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1.8.0   — Biblioteca de íconos SVG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Dependencias de desarrollo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@vitejs/plugin-react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Plugin de Vite para JSX y Fast Refresh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eslint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Linter de código JavaScript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eslint-plugin-react-hooks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Reglas de ESLint para Hooks de React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@types/react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Tipos TypeScript para autocompletado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Lenguajes y formatos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JavaScript (JSX) — lógica de componentes e interfaz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CSS in JS (style tags dentro de componentes) — estilos por componente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CSS global (src/index.css) — variables globales y reset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HTML5 (index.html) — punto de entrada</w:t>
      </w:r>
    </w:p>
    <w:p>
      <w:pPr>
        <w:spacing w:before="40" w:after="120"/>
        <w:ind w:left="432"/>
      </w:pPr>
      <w:r>
        <w:rPr>
          <w:rFonts w:ascii="Calibri" w:hAnsi="Calibri"/>
          <w:i/>
          <w:color w:val="1E5799"/>
          <w:sz w:val="20"/>
        </w:rPr>
        <w:t>💡 No se utiliza ningún framework CSS externo (Bootstrap, Tailwind, etc.). Todos los estilos están escritos en CSS puro usando variables CSS custom properties.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5C2E"/>
          <w:sz w:val="40"/>
        </w:rPr>
        <w:t>3. Estructura de Directorios</w:t>
      </w:r>
    </w:p>
    <w:p>
      <w:pPr>
        <w:pBdr>
          <w:bottom w:val="single" w:sz="6" w:space="1" w:color="4a9e65"/>
        </w:pBdr>
        <w:spacing w:before="120" w:after="120"/>
      </w:pP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El proyecto sigue la estructura estándar de Vite + React: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rac-website/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├── index.html                 # Punto de entrada HTML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├── package.json               # Dependencias y scripts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├── vite.config.js             # Configuración de Vite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├── public/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│   └── favicon.svg            # Ícono del sitio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└── src/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 xml:space="preserve">    ├── main.jsx               # Punto de entrada React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 xml:space="preserve">    ├── App.jsx                # Componente raíz, orquesta secciones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 xml:space="preserve">    ├── App.css                # Estilos mínimos del App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 xml:space="preserve">    ├── index.css              # Variables CSS globales y reset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 xml:space="preserve">    ├── assets/                # Imágenes y recursos estáticos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 xml:space="preserve">    └── components/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 xml:space="preserve">        ├── Navbar.jsx         # Barra de navegación fija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 xml:space="preserve">        ├── Hero.jsx           # Sección hero con contadores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 xml:space="preserve">        ├── About.jsx          # Quiénes somos (Historia/Misión/Visión)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 xml:space="preserve">        ├── VideoSection.jsx   # Embed de video YouTube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 xml:space="preserve">        ├── Congress.jsx       # Congreso Americano de Cunicultura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 xml:space="preserve">        ├── Publications.jsx   # Publicaciones de interés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 xml:space="preserve">        ├── Contact.jsx        # Formulario y redes de contacto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 xml:space="preserve">        └── Footer.jsx         # Pie de página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5C2E"/>
          <w:sz w:val="40"/>
        </w:rPr>
        <w:t>4. Instalación y Ejecución</w:t>
      </w:r>
    </w:p>
    <w:p>
      <w:pPr>
        <w:pBdr>
          <w:bottom w:val="single" w:sz="6" w:space="1" w:color="4a9e65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Requisitos previos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Node.js versión 18 o superior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npm versión 9 o superior (incluido con Node.js)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Conexión a internet (para cargar la fuente Google Fonts Inter)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Pasos de instalación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1. Clonar o descomprimir el proyecto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cd /ruta/a/tu/carpeta/rac-website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2. Instalar dependencias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npm install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3. Iniciar servidor de desarrollo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npm run dev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Acceder en el navegador a: http://localhost:5173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4. Generar build de producción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npm run build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Los archivos optimizados quedan en la carpeta dist/. Pueden servirse con cualquier servidor web estático (Nginx, Apache, Netlify, Vercel, GitHub Pages, etc.).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5. Previsualizar el build de producción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npm run preview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Scripts disponibles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npm run dev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Inicia servidor de desarrollo con HMR (Hot Module Replacement)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npm run build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Genera el build optimizado en dist/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npm run preview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Sirve el build de producción localmente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npm run lint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Ejecuta ESLint para verificar calidad del código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5C2E"/>
          <w:sz w:val="40"/>
        </w:rPr>
        <w:t>5. Sistema de Diseño (Design System)</w:t>
      </w:r>
    </w:p>
    <w:p>
      <w:pPr>
        <w:pBdr>
          <w:bottom w:val="single" w:sz="6" w:space="1" w:color="4a9e65"/>
        </w:pBdr>
        <w:spacing w:before="120" w:after="120"/>
      </w:pP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Todas las variables de diseño están definidas en src/index.css utilizando CSS Custom Properties (variables CSS), lo que facilita la consistencia visual y la personalización global del sitio.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Paleta de colores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--green-dark   (#1a5c2e)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Verde oscuro — fondo hero, navbar, títulos principales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--green-main   (#2d7a47)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Verde principal — botones, tabs activos, acentos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--green-light  (#4a9e65)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Verde claro — hover states, scrollbar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--green-pale   (#e8f5ec)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Verde muy claro — fondos de chips y tarjetas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--blue-dark    (#1a3a5c)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Azul oscuro — sección video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--blue-main    (#1e5799)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Azul principal — enlaces secundarios, info cards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--blue-light   (#3b82c4)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Azul claro — acentos azules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--blue-pale    (#e8f0f8)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Azul muy claro — fondos de info cards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--gold         (#e8a020)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Dorado — disponible para auspiciantes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--gray-900     (#111827)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Texto de títulos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--gray-700     (#374151)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Texto de cuerpo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--gray-500     (#6b7280)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Texto secundario y subtítulos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--gray-300     (#d1d5db)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Bordes y divisores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--gray-100     (#f3f4f6)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Fondos de secciones alternadas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--white        (#ffffff)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Fondo principal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Tipografía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Familia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Inter (Google Fonts) — fallback: system-ui, Segoe UI, sans-serif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Tamaño base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16px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Line-height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1.6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Títulos hero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clamp(2.4rem, 6vw, 4rem) — fluid typography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Títulos sección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clamp(1.8rem, 3.5vw, 2.8rem) — fluid typography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Cuerpo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1rem / 1.05rem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Texto pequeño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0.8125rem — 0.875rem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Sombras y bordes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--shadow-sm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0 1px 3px rgba(0,0,0,0.08) — tarjetas en reposo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--shadow-md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0 4px 16px rgba(0,0,0,0.1) — tarjetas con hover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--shadow-lg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0 8px 32px rgba(0,0,0,0.14) — modales y elementos flotantes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--radius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8px — radio estándar de bordes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--radius-lg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16px — radio para tarjetas grandes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Clase utilitaria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.container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max-width: 1100px; margin: 0 auto — centra el contenido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5C2E"/>
          <w:sz w:val="40"/>
        </w:rPr>
        <w:t>6. Componentes</w:t>
      </w:r>
    </w:p>
    <w:p>
      <w:pPr>
        <w:pBdr>
          <w:bottom w:val="single" w:sz="6" w:space="1" w:color="4a9e65"/>
        </w:pBdr>
        <w:spacing w:before="120" w:after="120"/>
      </w:pP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Cada componente es auto-contenido: incluye su JSX, su lógica de estado y sus estilos CSS en un único archivo .jsx mediante el patrón de estilos en línea con etiqueta &lt;style&gt;. Esto facilita el mantenimiento y la portabilidad.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6.1 Navbar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Archivo: src/components/Navbar.jsx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Descripción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Barra de navegación fija en la parte superior. Comienza transparente y adquiere fondo verde semitransparente al hacer scroll. En mobile muestra un botón hamburguesa que despliega el menú verticalmente.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Estado interno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scrolled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Boolean — true cuando el scroll supera 20px. Activa el fondo del navbar.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menuOpen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Boolean — true cuando el menú mobile está abierto.</w:t>
            </w:r>
          </w:p>
        </w:tc>
      </w:tr>
    </w:tbl>
    <w:p/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Comportamiento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Detecta el scroll con un event listener en window (useEffect).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Los links de navegación invocan scrollIntoView({ behavior: "smooth" }) en vez de navegar a una URL.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Al hacer clic en un link mobile, el menú se cierra automáticamente.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El botón hamburguesa anima sus tres líneas a una X cuando el menú está abierto.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Links de navegación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Inicio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#inicio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Quiénes Somos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#quienes-somos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Congreso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#congreso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Publicaciones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#publicaciones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Contacto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#contacto</w:t>
            </w:r>
          </w:p>
        </w:tc>
      </w:tr>
    </w:tbl>
    <w:p/>
    <w:p>
      <w:pPr>
        <w:spacing w:before="40" w:after="120"/>
        <w:ind w:left="432"/>
      </w:pPr>
      <w:r>
        <w:rPr>
          <w:rFonts w:ascii="Calibri" w:hAnsi="Calibri"/>
          <w:i/>
          <w:color w:val="1E5799"/>
          <w:sz w:val="20"/>
        </w:rPr>
        <w:t>💡 Agregar un nuevo link: añadir un objeto { label, href } al array navLinks en la parte superior del archivo.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6.2 Hero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Archivo: src/components/Hero.jsx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Descripción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Primera sección visible del sitio. Ocupa el 100% de la altura de la ventana (100vh). Contiene el título principal, subtítulo, dos botones de llamada a la acción y una grilla de 4 estadísticas con contadores animados.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Subcomponente: StatCard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Cada tarjeta de estadística usa el hook personalizado useCountUp que observa la visibilidad del elemento con IntersectionObserver. Cuando la tarjeta entra al viewport, el número anima desde 0 hasta el valor objetivo usando interpolación cúbica (ease-out) durante 2000ms.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Hook: useCountUp(target, duration)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target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Número objetivo al que anima el contador.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duration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Duración de la animación en milisegundos (default: 2000).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Retorna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Un ref de React que debe asignarse al elemento &lt;span&gt; que muestra el número.</w:t>
            </w:r>
          </w:p>
        </w:tc>
      </w:tr>
    </w:tbl>
    <w:p/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Estadísticas configuradas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1.424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Miembros activos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297.038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Conejos producidos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400.050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Kg de carne anual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118.063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Recursos educativos</w:t>
            </w:r>
          </w:p>
        </w:tc>
      </w:tr>
    </w:tbl>
    <w:p/>
    <w:p>
      <w:pPr>
        <w:spacing w:before="40" w:after="120"/>
        <w:ind w:left="432"/>
      </w:pPr>
      <w:r>
        <w:rPr>
          <w:rFonts w:ascii="Calibri" w:hAnsi="Calibri"/>
          <w:i/>
          <w:color w:val="1E5799"/>
          <w:sz w:val="20"/>
        </w:rPr>
        <w:t>💡 Para modificar los valores, editar el array stats[] en src/components/Hero.jsx.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6.3 About — Quiénes Somos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Archivo: src/components/About.jsx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Descripción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Sección con tres tabs interactivos: Historia, Misión y Visión. Al seleccionar un tab el contenido del panel derecho cambia sin recarga. A la derecha se muestra una tarjeta decorativa con el ícono y los pilares institucionales.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Estado interno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active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String — ID del tab activo. Valores posibles: 'historia', 'mision', 'vision'.</w:t>
            </w:r>
          </w:p>
        </w:tc>
      </w:tr>
    </w:tbl>
    <w:p/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Datos — array tabs[]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historia 📜 — Historia de la RAC desde su conformación en mayo de 2023.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mision 🎯 — Misión institucional: cooperación, investigación y formación.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vision 🌟 — Visión a futuro: ecosistema de innovación cunícola en Argentina.</w:t>
      </w:r>
    </w:p>
    <w:p>
      <w:pPr>
        <w:spacing w:before="40" w:after="120"/>
        <w:ind w:left="432"/>
      </w:pPr>
      <w:r>
        <w:rPr>
          <w:rFonts w:ascii="Calibri" w:hAnsi="Calibri"/>
          <w:i/>
          <w:color w:val="1E5799"/>
          <w:sz w:val="20"/>
        </w:rPr>
        <w:t>💡 Para editar los textos, modificar el campo content de cada objeto en el array tabs[] dentro del archivo.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6.4 VideoSection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Archivo: src/components/VideoSection.jsx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Descripción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Sección de fondo azul oscuro con texto a la izquierda y un iframe de YouTube a la derecha. El video se mantiene en proporción 16:9 usando la técnica de padding-bottom: 56.25%.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Video actual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URL original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https://youtube.com/shorts/deEWuPpJ8XA?feature=share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ID del video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deEWuPpJ8XA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Embed URL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https://www.youtube.com/embed/deEWuPpJ8XA</w:t>
            </w:r>
          </w:p>
        </w:tc>
      </w:tr>
    </w:tbl>
    <w:p/>
    <w:p>
      <w:pPr>
        <w:spacing w:before="40" w:after="120"/>
        <w:ind w:left="432"/>
      </w:pPr>
      <w:r>
        <w:rPr>
          <w:rFonts w:ascii="Calibri" w:hAnsi="Calibri"/>
          <w:i/>
          <w:color w:val="1E5799"/>
          <w:sz w:val="20"/>
        </w:rPr>
        <w:t>💡 Para cambiar el video, reemplazar el ID en el src del iframe dentro de VideoSection.jsx.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6.5 Congress — Congreso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Archivo: src/components/Congress.jsx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Descripción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Sección del VIII Congreso Americano de Cunicultura. Tiene un header con fondo verde oscuro y un cuerpo de dos columnas: sidebar de navegación a la izquierda y panel de contenido a la derecha.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Estado interno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activeMenu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String — panel visible. Valores: 'circulares', 'autores', 'faq'.</w:t>
            </w:r>
          </w:p>
        </w:tc>
      </w:tr>
    </w:tbl>
    <w:p/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Paneles de contenido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circulares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Muestra Circular N°1 y N°2, las 8 áreas temáticas y los recursos para autores.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autores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Guía paso a paso para presentación de trabajos (4 pasos).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faq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5 preguntas frecuentes con acordeón (componente FaqItem).</w:t>
            </w:r>
          </w:p>
        </w:tc>
      </w:tr>
    </w:tbl>
    <w:p/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Subcomponente: FaqItem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Componente de acordeón. Maneja su propio estado open con useState. Al hacer clic muestra/oculta la respuesta.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Áreas temáticas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Genética y Mejoramiento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Nutrición y Alimentación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Sanidad y Bienestar Animal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Reproducción y Manejo Reproductivo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Producción y Sistemas Productivos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Economía y Mercados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Extensión y Educación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Tecnología e Innovación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Sección de organizadores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Al pie del componente se listan tres grupos con chips de colores diferenciados: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Organizan (verde)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Facultad Ciencias Veterinarias, INTA, IGEVET, UBA, UNLP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Acompañan (azul)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WRSA, SIC, ALPA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Auspician (dorado)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AAPA, CONICET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6.6 Publications — Publicaciones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Archivo: src/components/Publications.jsx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Descripción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Grilla de 3 columnas con tarjetas de publicaciones agrupadas por categoría. Cada tarjeta tiene un encabezado coloreado y una lista de publicaciones individuales con efecto hover de flecha animada.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Grupos de publicaciones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Manuales INTA (verde)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Manual de Cunicultura INTA, Producción de Conejos, Bienestar Animal en Conejos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Saber Cunícola (azul)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Revista Saber Cunícola, Boletín Técnico, Casos de Estudio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Publicaciones RAC (dorado)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Mariana González et al., Jorge Rodríguez et al., Soledad Pérez et al.</w:t>
            </w:r>
          </w:p>
        </w:tc>
      </w:tr>
    </w:tbl>
    <w:p/>
    <w:p>
      <w:pPr>
        <w:spacing w:before="40" w:after="120"/>
        <w:ind w:left="432"/>
      </w:pPr>
      <w:r>
        <w:rPr>
          <w:rFonts w:ascii="Calibri" w:hAnsi="Calibri"/>
          <w:i/>
          <w:color w:val="1E5799"/>
          <w:sz w:val="20"/>
        </w:rPr>
        <w:t>💡 Cada publicación es un &lt;a href="#"&gt; — reemplazar "#" con la URL real del documento cuando esté disponible.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6.7 Contact — Contacto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Archivo: src/components/Contact.jsx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Descripción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Sección de fondo verde oscuro con dos columnas: información de contacto y redes a la izquierda, formulario de contacto a la derecha.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Datos de contacto institucionales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Email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redargentinadecunicultura@gmail.com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Instagram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@rac_arg — https://instagram.com/rac_arg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Facebook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Red Argentina de Cunicultura (URL a confirmar)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YouTube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RAC Argentina — https://youtube.com/shorts/deEWuPpJ8XA?feature=share</w:t>
            </w:r>
          </w:p>
        </w:tc>
      </w:tr>
    </w:tbl>
    <w:p/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Formulario de contacto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El formulario tiene los siguientes campos: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Nombre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Texto libre — campo requerido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Email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Dirección de correo electrónico — campo requerido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Tema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Selector (5 opciones predefinidas)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Mensaje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Área de texto — 4 filas</w:t>
            </w:r>
          </w:p>
        </w:tc>
      </w:tr>
    </w:tbl>
    <w:p/>
    <w:p>
      <w:pPr>
        <w:spacing w:before="40" w:after="120"/>
        <w:ind w:left="432"/>
      </w:pPr>
      <w:r>
        <w:rPr>
          <w:rFonts w:ascii="Calibri" w:hAnsi="Calibri"/>
          <w:i/>
          <w:color w:val="1E5799"/>
          <w:sz w:val="20"/>
        </w:rPr>
        <w:t>💡 Actualmente el formulario hace preventDefault() sin envío real. Para conectarlo a un backend, reemplazar el handler onSubmit con una llamada fetch/axios a la API correspondiente.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6.8 Footer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Archivo: src/components/Footer.jsx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Descripción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Pie de página de fondo muy oscuro (#0d1f15) con cuatro columnas: marca + redes sociales, navegación, congreso y publicaciones. Incluye una franja inferior con el copyright.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Columnas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Columna 1 (2fr)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Logo RAC, descripción, íconos de redes sociales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Columna 2 (1fr)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Links de navegación principal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Columna 3 (1fr)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Links del Congreso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Columna 4 (1fr)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Links de Publicaciones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5C2E"/>
          <w:sz w:val="40"/>
        </w:rPr>
        <w:t>7. Contenido y Datos</w:t>
      </w:r>
    </w:p>
    <w:p>
      <w:pPr>
        <w:pBdr>
          <w:bottom w:val="single" w:sz="6" w:space="1" w:color="4a9e65"/>
        </w:pBdr>
        <w:spacing w:before="120" w:after="120"/>
      </w:pP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Todo el contenido del sitio está hardcodeado directamente en los componentes JSX. No hay base de datos ni CMS. Esta sección documenta dónde encontrar cada texto para editarlo.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Mapa de contenidos por componente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Estadísticas del hero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Hero.jsx — array stats[]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Textos Historia/Misión/Visión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About.jsx — array tabs[], campo content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Video de YouTube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VideoSection.jsx — atributo src del &lt;iframe&gt;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Circulares del congreso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Congress.jsx — array circulars[]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Áreas temáticas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Congress.jsx — array thematicAreas[]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Preguntas frecuentes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Congress.jsx — array inline en FaqItem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Grupos de publicaciones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Publications.jsx — array publications[]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Email y redes sociales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Contact.jsx — JSX directo + Footer.jsx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Organizadores del congreso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Congress.jsx — sección .organizers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Redes sociales y links externos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Email institucional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redargentinadecunicultura@gmail.com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Instagram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https://instagram.com/rac_arg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YouTube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https://youtube.com/shorts/deEWuPpJ8XA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AAPA - 49° CAPA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https://www.aapa.org.ar/49capa/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AAPA institucional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https://www.aapa.org.ar/index.html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5C2E"/>
          <w:sz w:val="40"/>
        </w:rPr>
        <w:t>8. Responsive Design</w:t>
      </w:r>
    </w:p>
    <w:p>
      <w:pPr>
        <w:pBdr>
          <w:bottom w:val="single" w:sz="6" w:space="1" w:color="4a9e65"/>
        </w:pBdr>
        <w:spacing w:before="120" w:after="120"/>
      </w:pP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El sitio es mobile-first responsive. Los breakpoints se aplican directamente en los bloques &lt;style&gt; de cada componente usando @media queries estándar.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Breakpoints utilizados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max-width: 480px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Móviles pequeños — grillas pasan a 1 columna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max-width: 600px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Móviles — ajustes de padding y tipografía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max-width: 768px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Tablets y móviles — navbar cambia a hamburguesa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max-width: 900px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Tablets — grillas de 2-3 columnas pasan a 1 columna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Comportamiento por sección en mobile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Navbar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Oculta links, muestra botón hamburguesa. Menú vertical sobre el contenido.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Hero stats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De 4 columnas pasa a 2 columnas (2x2).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About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La tarjeta decorativa va debajo del texto. Los pilares se reorganizan horizontalmente.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VideoSection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Video va debajo del texto descriptivo (columna única).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Congress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Sidebar y nav horizontal arriba. Contenido abajo.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Publications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De 3 columnas pasa a 1 columna.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Contact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Formulario va debajo de la info de contacto. Campos en columna única.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Footer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De 4 columnas pasa a 2 y luego a 1.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Fluid typography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Los títulos usan la función CSS clamp() para escalar suavemente entre dispositivos: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font-size: clamp(valor-mínimo, valor-fluido, valor-máximo)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Ejemplo: clamp(2.4rem, 6vw, 4rem) — mínimo 38.4px, máximo 64px, fluido en el medio.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5C2E"/>
          <w:sz w:val="40"/>
        </w:rPr>
        <w:t>9. SEO y Accesibilidad</w:t>
      </w:r>
    </w:p>
    <w:p>
      <w:pPr>
        <w:pBdr>
          <w:bottom w:val="single" w:sz="6" w:space="1" w:color="4a9e65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Meta tags (index.html)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&lt;title&gt;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Red Argentina de Cunicultura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&lt;meta name="description"&gt;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Fortaleciendo la producción cunícola argentina mediante la cooperación interinstitucional.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lang="es"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Idioma declarado en el tag &lt;html&gt; para lectores de pantalla y buscadores.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charset="UTF-8"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Codificación UTF-8 para soporte de caracteres especiales y ñ.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viewport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width=device-width, initial-scale=1.0 para correcto escalado mobile.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Accesibilidad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aria-label="Menú" en el botón hamburguesa del navbar.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role="presentation" y aria-hidden="true" en íconos decorativos.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Fuente Inter con alto contraste (ratio &gt; 4.5:1 entre texto y fondo).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Navegación por teclado funcional (todos los elementos interactivos son &lt;a&gt; o &lt;button&gt;).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Links con rel="noopener noreferrer" en todos los links externos.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Semántica HTML5: &lt;nav&gt;, &lt;main&gt;, &lt;section&gt;, &lt;footer&gt;, &lt;form&gt;, &lt;label&gt;.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Recomendaciones para mejorar SEO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Agregar Open Graph meta tags (&lt;meta property="og:title"&gt;, &lt;meta property="og:image"&gt;, etc.).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Incluir un sitemap.xml si se despliega en un dominio propio.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Agregar datos estructurados (Schema.org) para el evento del Congreso.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Reemplazar los "#" de publicaciones con URLs reales para que los buscadores indexen el contenido.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5C2E"/>
          <w:sz w:val="40"/>
        </w:rPr>
        <w:t>10. Construcción y Despliegue</w:t>
      </w:r>
    </w:p>
    <w:p>
      <w:pPr>
        <w:pBdr>
          <w:bottom w:val="single" w:sz="6" w:space="1" w:color="4a9e65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Build de producción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El comando npm run build genera la carpeta dist/ con: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dist/index.html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~0.91 kB — HTML de entrada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dist/assets/index-*.css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~1.07 kB (gzip: 0.58 kB)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dist/assets/index-*.js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~246 kB (gzip: 71.5 kB) — React + app bundleado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Opciones de despliegue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Netlify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Arrastrar la carpeta dist/ al panel de Netlify. O conectar el repositorio Git.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Vercel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vercel deploy en la raíz del proyecto. Detecta Vite automáticamente.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GitHub Pages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Configurar vite.config.js con base: "/nombre-repo/". Subir dist/ a la rama gh-pages.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VPS / Apache / Nginx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Copiar dist/ al directorio público del servidor. Configurar rewrite de rutas a index.html.</w:t>
            </w:r>
          </w:p>
        </w:tc>
      </w:tr>
    </w:tbl>
    <w:p/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Configuración para SPA en servidor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Si se usa React Router (rutas no-hash), configurar el servidor para redirigir todas las rutas a index.html: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Nginx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location / {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 xml:space="preserve">  try_files $uri $uri/ /index.html;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}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Apache (.htaccess)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RewriteEngine On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RewriteCond %{REQUEST_FILENAME} !-f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RewriteRule ^ index.html [QSA,L]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5C2E"/>
          <w:sz w:val="40"/>
        </w:rPr>
        <w:t>11. Guía de Mantenimiento</w:t>
      </w:r>
    </w:p>
    <w:p>
      <w:pPr>
        <w:pBdr>
          <w:bottom w:val="single" w:sz="6" w:space="1" w:color="4a9e65"/>
        </w:pBdr>
        <w:spacing w:before="120" w:after="12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Tareas comunes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Actualizar un texto de Quiénes Somos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Abrir src/components/About.jsx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Localizar el array const tabs = [...]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Editar el campo content del objeto correspondiente (historia, mision o vision)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Guardar — el navegador se actualiza automáticamente en modo desarrollo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Agregar una publicación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Abrir src/components/Publications.jsx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Localizar el array const publications = [...]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Agregar un nuevo objeto en el array items[] del grupo correspondiente: { title: "...", desc: "..." }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Si es una nueva categoría, agregar un nuevo objeto al nivel del array publications[]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Cambiar el video de YouTube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Abrir src/components/VideoSection.jsx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Localizar el elemento &lt;iframe&gt;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Reemplazar el ID en src="https://www.youtube.com/embed/NUEVO_ID"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Actualizar estadísticas del hero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Abrir src/components/Hero.jsx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Localizar el array const stats = [...]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Modificar el campo value del objeto correspondiente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Agregar una circular del congreso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Abrir src/components/Congress.jsx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Localizar el array const circulars = [...]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Agregar un nuevo objeto: { id: 3, title: "Circular N°3", desc: "..." }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Si hay un PDF disponible, reemplazar el onClick del botón con un link de descarga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1E5799"/>
          <w:sz w:val="24"/>
        </w:rPr>
        <w:t>Activar el formulario de contacto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Abrir src/components/Contact.jsx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Localizar la función onSubmit del &lt;form&gt;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Reemplazar e.preventDefault() con una llamada fetch() o con un servicio como Formspree, EmailJS o similar</w:t>
      </w:r>
    </w:p>
    <w:p>
      <w:pPr>
        <w:pStyle w:val="ListBullet"/>
        <w:spacing w:before="0" w:after="60"/>
        <w:ind w:left="432"/>
      </w:pPr>
      <w:r>
        <w:rPr>
          <w:rFonts w:ascii="Calibri" w:hAnsi="Calibri"/>
          <w:color w:val="374151"/>
          <w:sz w:val="22"/>
        </w:rPr>
        <w:t>Ejemplo con Formspree: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fetch('https://formspree.io/f/TU_ID', {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 xml:space="preserve">  method: 'POST',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 xml:space="preserve">  body: JSON.stringify({ nombre, email, mensaje }),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 xml:space="preserve">  headers: { 'Content-Type': 'application/json' }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})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Actualización de dependencias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Para actualizar las dependencias a sus versiones más recientes: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npm update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Para verificar vulnerabilidades: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npm audit</w:t>
      </w:r>
    </w:p>
    <w:p>
      <w:pPr>
        <w:spacing w:before="0" w:after="120" w:line="300" w:lineRule="exact"/>
      </w:pPr>
      <w:r>
        <w:rPr>
          <w:rFonts w:ascii="Calibri" w:hAnsi="Calibri"/>
          <w:i w:val="0"/>
          <w:color w:val="374151"/>
          <w:sz w:val="22"/>
        </w:rPr>
        <w:t>Para actualizar a versiones mayores (breaking changes posibles):</w:t>
      </w:r>
    </w:p>
    <w:p>
      <w:pPr>
        <w:spacing w:before="40" w:after="40"/>
        <w:ind w:left="576"/>
        <w:shd w:val="clear" w:color="auto" w:fill="F5F5F5"/>
      </w:pPr>
      <w:r>
        <w:rPr>
          <w:rFonts w:ascii="Courier New" w:hAnsi="Courier New"/>
          <w:color w:val="C0392B"/>
          <w:sz w:val="19"/>
        </w:rPr>
        <w:t>npx npm-check-updates -u &amp;&amp; npm install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D7A47"/>
          <w:sz w:val="30"/>
        </w:rPr>
        <w:t>Extensiones recomendadas para VSCode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ES7+ React/Redux Snippets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Snippets para componentes React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ESLint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Resalta errores de linting en tiempo real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Prettier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Formateador de código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CSS Variables Autocomplete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Autocompletado de variables CSS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Live Server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374151"/>
                <w:sz w:val="20"/>
              </w:rPr>
              <w:t>No necesario con Vite, pero útil para archivos estáticos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