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rPr>
          <w:sz w:val="2"/>
          <w:szCs w:val="2"/>
        </w:rPr>
        <w:t xml:space="preserve"/>
      </w:r>
    </w:p>
    <w:p>
      <w:pPr>
        <w:spacing w:after="80"/>
      </w:pPr>
      <w:r>
        <w:rPr>
          <w:rFonts w:ascii="Calibri" w:cs="Calibri" w:eastAsia="Calibri" w:hAnsi="Calibri"/>
          <w:b/>
          <w:bCs/>
          <w:caps/>
          <w:color w:val="1F4E5F"/>
          <w:spacing w:val="60"/>
          <w:sz w:val="26"/>
          <w:szCs w:val="26"/>
        </w:rPr>
        <w:t xml:space="preserve">Fabric</w:t>
      </w:r>
    </w:p>
    <w:p>
      <w:pPr>
        <w:pBdr>
          <w:bottom w:val="single" w:color="1F4E5F" w:sz="18" w:space="10"/>
        </w:pBdr>
        <w:spacing w:after="120"/>
      </w:pPr>
      <w:r>
        <w:rPr>
          <w:sz w:val="2"/>
          <w:szCs w:val="2"/>
        </w:rPr>
        <w:t xml:space="preserve"/>
      </w:r>
    </w:p>
    <w:p>
      <w:pPr>
        <w:spacing w:after="100" w:before="200" w:line="400"/>
      </w:pPr>
      <w:r>
        <w:rPr>
          <w:rFonts w:ascii="Calibri" w:cs="Calibri" w:eastAsia="Calibri" w:hAnsi="Calibri"/>
          <w:b/>
          <w:bCs/>
          <w:color w:val="1A1A1A"/>
          <w:sz w:val="56"/>
          <w:szCs w:val="56"/>
        </w:rPr>
        <w:t xml:space="preserve">Production Deployment</w:t>
      </w:r>
    </w:p>
    <w:p>
      <w:pPr>
        <w:spacing w:after="300" w:line="400"/>
      </w:pPr>
      <w:r>
        <w:rPr>
          <w:rFonts w:ascii="Calibri" w:cs="Calibri" w:eastAsia="Calibri" w:hAnsi="Calibri"/>
          <w:b/>
          <w:bCs/>
          <w:color w:val="1F4E5F"/>
          <w:sz w:val="56"/>
          <w:szCs w:val="56"/>
        </w:rPr>
        <w:t xml:space="preserve">Cost Estimate</w:t>
      </w:r>
    </w:p>
    <w:p>
      <w:pPr>
        <w:spacing w:after="60" w:before="0" w:line="276"/>
      </w:pPr>
      <w:r>
        <w:rPr>
          <w:rFonts w:ascii="Calibri" w:cs="Calibri" w:eastAsia="Calibri" w:hAnsi="Calibri"/>
          <w:color w:val="5B6470"/>
          <w:sz w:val="24"/>
          <w:szCs w:val="24"/>
        </w:rPr>
        <w:t xml:space="preserve">Multi-tenant CPaaS, payments and identity platform for Ghana and Nigeria</w:t>
      </w:r>
    </w:p>
    <w:p>
      <w:pPr>
        <w:spacing w:after="420" w:before="0" w:line="276"/>
      </w:pPr>
      <w:r>
        <w:rPr>
          <w:rFonts w:ascii="Calibri" w:cs="Calibri" w:eastAsia="Calibri" w:hAnsi="Calibri"/>
          <w:color w:val="5B6470"/>
          <w:sz w:val="22"/>
          <w:szCs w:val="22"/>
        </w:rPr>
        <w:t xml:space="preserve">AWS Europe (Ireland) · eu-west-1</w:t>
      </w:r>
    </w:p>
    <w:p>
      <w:pPr>
        <w:pBdr>
          <w:bottom w:val="single" w:color="C9D1D6" w:sz="6" w:space="2"/>
        </w:pBdr>
        <w:spacing w:after="160" w:before="120"/>
      </w:pPr>
      <w:r>
        <w:rPr>
          <w:sz w:val="2"/>
          <w:szCs w:val="2"/>
        </w:rPr>
        <w:t xml:space="preserve"/>
      </w:r>
    </w:p>
    <w:tbl>
      <w:tblPr>
        <w:tblW w:type="dxa" w:w="9360"/>
        <w:tblBorders>
          <w:top w:val="none"/>
          <w:left w:val="none"/>
          <w:bottom w:val="none"/>
          <w:right w:val="none"/>
          <w:insideH w:val="none"/>
          <w:insideV w:val="none"/>
        </w:tblBorders>
      </w:tblPr>
      <w:tblGrid>
        <w:gridCol w:w="2500"/>
        <w:gridCol w:w="6860"/>
      </w:tblGrid>
      <w:tr>
        <w:trPr>
          <w:cantSplit/>
          <w:tblHeader/>
        </w:trPr>
        <w:tc>
          <w:tcPr>
            <w:tcW w:type="dxa" w:w="2500"/>
            <w:tcBorders>
              <w:top w:val="none"/>
              <w:left w:val="none"/>
              <w:bottom w:val="single" w:color="1F4E5F" w:sz="8"/>
              <w:right w:val="none"/>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
            </w:r>
          </w:p>
        </w:tc>
        <w:tc>
          <w:tcPr>
            <w:tcW w:type="dxa" w:w="6860"/>
            <w:tcBorders>
              <w:top w:val="none"/>
              <w:left w:val="none"/>
              <w:bottom w:val="single" w:color="1F4E5F" w:sz="8"/>
              <w:right w:val="none"/>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
            </w:r>
          </w:p>
        </w:tc>
      </w:tr>
      <w:tr>
        <w:trPr>
          <w:cantSplit/>
        </w:trPr>
        <w:tc>
          <w:tcPr>
            <w:tcW w:type="dxa" w:w="2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Prepared for</w:t>
            </w:r>
          </w:p>
        </w:tc>
        <w:tc>
          <w:tcPr>
            <w:tcW w:type="dxa" w:w="68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Fabric stakeholders and budget approval</w:t>
            </w:r>
          </w:p>
        </w:tc>
      </w:tr>
      <w:tr>
        <w:trPr>
          <w:cantSplit/>
        </w:trPr>
        <w:tc>
          <w:tcPr>
            <w:tcW w:type="dxa" w:w="2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Prepared by</w:t>
            </w:r>
          </w:p>
        </w:tc>
        <w:tc>
          <w:tcPr>
            <w:tcW w:type="dxa" w:w="68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Platform engineering</w:t>
            </w:r>
          </w:p>
        </w:tc>
      </w:tr>
      <w:tr>
        <w:trPr>
          <w:cantSplit/>
        </w:trPr>
        <w:tc>
          <w:tcPr>
            <w:tcW w:type="dxa" w:w="2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Date of issue</w:t>
            </w:r>
          </w:p>
        </w:tc>
        <w:tc>
          <w:tcPr>
            <w:tcW w:type="dxa" w:w="68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3 September 2026</w:t>
            </w:r>
          </w:p>
        </w:tc>
      </w:tr>
      <w:tr>
        <w:trPr>
          <w:cantSplit/>
        </w:trPr>
        <w:tc>
          <w:tcPr>
            <w:tcW w:type="dxa" w:w="2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Pricing basis</w:t>
            </w:r>
          </w:p>
        </w:tc>
        <w:tc>
          <w:tcPr>
            <w:tcW w:type="dxa" w:w="68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AWS and vendor published list prices, checked 3 September 2026</w:t>
            </w:r>
          </w:p>
        </w:tc>
      </w:tr>
      <w:tr>
        <w:trPr>
          <w:cantSplit/>
        </w:trPr>
        <w:tc>
          <w:tcPr>
            <w:tcW w:type="dxa" w:w="2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Currency</w:t>
            </w:r>
          </w:p>
        </w:tc>
        <w:tc>
          <w:tcPr>
            <w:tcW w:type="dxa" w:w="68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United States dollars, exclusive of VAT and withholding taxes</w:t>
            </w:r>
          </w:p>
        </w:tc>
      </w:tr>
      <w:tr>
        <w:trPr>
          <w:cantSplit/>
        </w:trPr>
        <w:tc>
          <w:tcPr>
            <w:tcW w:type="dxa" w:w="2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Status</w:t>
            </w:r>
          </w:p>
        </w:tc>
        <w:tc>
          <w:tcPr>
            <w:tcW w:type="dxa" w:w="68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Estimate for decision. Not a quotation.</w:t>
            </w:r>
          </w:p>
        </w:tc>
      </w:tr>
    </w:tbl>
    <w:p>
      <w:pPr>
        <w:spacing w:after="600"/>
      </w:pPr>
      <w:r>
        <w:rPr>
          <w:sz w:val="2"/>
          <w:szCs w:val="2"/>
        </w:rPr>
        <w:t xml:space="preserve"/>
      </w:r>
    </w:p>
    <w:tbl>
      <w:tblPr>
        <w:tblW w:type="dxa" w:w="9360"/>
        <w:tblBorders>
          <w:top w:val="none"/>
          <w:left w:val="none"/>
          <w:bottom w:val="none"/>
          <w:right w:val="none"/>
          <w:insideH w:val="none"/>
          <w:insideV w:val="none"/>
        </w:tblBorders>
      </w:tblPr>
      <w:tblGrid>
        <w:gridCol w:w="60"/>
        <w:gridCol w:w="9300"/>
      </w:tblGrid>
      <w:tr>
        <w:trPr>
          <w:cantSplit/>
        </w:trPr>
        <w:tc>
          <w:tcPr>
            <w:tcW w:type="dxa" w:w="60"/>
            <w:tcBorders>
              <w:top w:val="none"/>
              <w:left w:val="none"/>
              <w:bottom w:val="none"/>
              <w:right w:val="none"/>
            </w:tcBorders>
            <w:shd w:fill="1F4E5F" w:color="auto" w:val="clear"/>
            <w:tcMar>
              <w:top w:type="dxa" w:w="0"/>
              <w:left w:type="dxa" w:w="0"/>
              <w:bottom w:type="dxa" w:w="0"/>
              <w:right w:type="dxa" w:w="0"/>
            </w:tcMar>
          </w:tcPr>
          <w:p>
            <w:r>
              <w:rPr>
                <w:sz w:val="2"/>
                <w:szCs w:val="2"/>
              </w:rPr>
              <w:t xml:space="preserve"/>
            </w:r>
          </w:p>
        </w:tc>
        <w:tc>
          <w:tcPr>
            <w:tcW w:type="dxa" w:w="9300"/>
            <w:tcBorders>
              <w:top w:val="none"/>
              <w:left w:val="none"/>
              <w:bottom w:val="none"/>
              <w:right w:val="none"/>
            </w:tcBorders>
            <w:shd w:fill="E8F0F2" w:color="auto" w:val="clear"/>
            <w:tcMar>
              <w:top w:type="dxa" w:w="150"/>
              <w:left w:type="dxa" w:w="200"/>
              <w:bottom w:type="dxa" w:w="150"/>
              <w:right w:type="dxa" w:w="200"/>
            </w:tcMar>
          </w:tcPr>
          <w:p>
            <w:pPr>
              <w:spacing w:after="60"/>
            </w:pPr>
            <w:r>
              <w:rPr>
                <w:rFonts w:ascii="Calibri" w:cs="Calibri" w:eastAsia="Calibri" w:hAnsi="Calibri"/>
                <w:b/>
                <w:bCs/>
                <w:caps/>
                <w:color w:val="1F4E5F"/>
                <w:spacing w:val="10"/>
                <w:sz w:val="19"/>
                <w:szCs w:val="19"/>
              </w:rPr>
              <w:t xml:space="preserve">Read this first</w:t>
            </w:r>
          </w:p>
          <w:p>
            <w:pPr>
              <w:spacing w:after="90" w:line="276"/>
            </w:pPr>
            <w:r>
              <w:rPr>
                <w:rFonts w:ascii="Calibri" w:cs="Calibri" w:eastAsia="Calibri" w:hAnsi="Calibri"/>
                <w:b/>
                <w:bCs/>
                <w:color w:val="1A1A1A"/>
                <w:sz w:val="19"/>
                <w:szCs w:val="19"/>
              </w:rPr>
              <w:t xml:space="preserve">This document prices a production environment that does not yet exist as code. </w:t>
            </w:r>
            <w:r>
              <w:rPr>
                <w:rFonts w:ascii="Calibri" w:cs="Calibri" w:eastAsia="Calibri" w:hAnsi="Calibri"/>
                <w:color w:val="1A1A1A"/>
                <w:sz w:val="19"/>
                <w:szCs w:val="19"/>
              </w:rPr>
              <w:t xml:space="preserve">The repository's </w:t>
            </w:r>
            <w:r>
              <w:rPr>
                <w:rFonts w:ascii="Calibri" w:cs="Calibri" w:eastAsia="Calibri" w:hAnsi="Calibri"/>
                <w:i/>
                <w:iCs/>
                <w:color w:val="1A1A1A"/>
                <w:sz w:val="19"/>
                <w:szCs w:val="19"/>
              </w:rPr>
              <w:t xml:space="preserve">infra/prod</w:t>
            </w:r>
            <w:r>
              <w:rPr>
                <w:rFonts w:ascii="Calibri" w:cs="Calibri" w:eastAsia="Calibri" w:hAnsi="Calibri"/>
                <w:color w:val="1A1A1A"/>
                <w:sz w:val="19"/>
                <w:szCs w:val="19"/>
              </w:rPr>
              <w:t xml:space="preserve"> directory is a Terraform skeleton with zero resource blocks, and the only concrete infrastructure definition provisions the </w:t>
            </w:r>
            <w:r>
              <w:rPr>
                <w:rFonts w:ascii="Calibri" w:cs="Calibri" w:eastAsia="Calibri" w:hAnsi="Calibri"/>
                <w:i/>
                <w:iCs/>
                <w:color w:val="1A1A1A"/>
                <w:sz w:val="19"/>
                <w:szCs w:val="19"/>
              </w:rPr>
              <w:t xml:space="preserve">testing</w:t>
            </w:r>
            <w:r>
              <w:rPr>
                <w:rFonts w:ascii="Calibri" w:cs="Calibri" w:eastAsia="Calibri" w:hAnsi="Calibri"/>
                <w:color w:val="1A1A1A"/>
                <w:sz w:val="19"/>
                <w:szCs w:val="19"/>
              </w:rPr>
              <w:t xml:space="preserve"> environment at testing sizes. Every figure here is therefore a forward estimate built by scaling that definition to a launch-grade production tier — not a measurement of current spend.</w:t>
            </w:r>
          </w:p>
          <w:p>
            <w:pPr>
              <w:spacing w:after="0" w:line="276"/>
            </w:pPr>
            <w:r>
              <w:rPr>
                <w:rFonts w:ascii="Calibri" w:cs="Calibri" w:eastAsia="Calibri" w:hAnsi="Calibri"/>
                <w:color w:val="1A1A1A"/>
                <w:sz w:val="19"/>
                <w:szCs w:val="19"/>
              </w:rPr>
              <w:t xml:space="preserve">Section 2 sets out exactly what is known, what is assumed, and what still needs a decision before these numbers can be committed to a budget.</w:t>
            </w:r>
          </w:p>
        </w:tc>
      </w:tr>
    </w:tbl>
    <w:p>
      <w:pPr>
        <w:sectPr>
          <w:pgSz w:w="12240" w:h="15840" w:orient="portrait"/>
          <w:pgMar w:top="1440" w:right="1440" w:bottom="1440" w:left="1440" w:header="708" w:footer="708" w:gutter="0"/>
          <w:pgNumType/>
          <w:docGrid w:linePitch="360"/>
        </w:sectPr>
      </w:pPr>
    </w:p>
    <w:p>
      <w:pPr>
        <w:pStyle w:val="Heading1"/>
        <w:keepNext/>
        <w:pBdr>
          <w:bottom w:val="single" w:color="1F4E5F" w:sz="8" w:space="6"/>
        </w:pBdr>
        <w:spacing w:after="160" w:before="360"/>
      </w:pPr>
      <w:r>
        <w:rPr>
          <w:rFonts w:ascii="Calibri" w:cs="Calibri" w:eastAsia="Calibri" w:hAnsi="Calibri"/>
          <w:b/>
          <w:bCs/>
          <w:color w:val="1F4E5F"/>
          <w:sz w:val="30"/>
          <w:szCs w:val="30"/>
        </w:rPr>
        <w:t xml:space="preserve">Contents</w:t>
      </w:r>
    </w:p>
    <w:tbl>
      <w:tblPr>
        <w:tblW w:type="dxa" w:w="9360"/>
        <w:tblBorders>
          <w:top w:val="none"/>
          <w:left w:val="none"/>
          <w:bottom w:val="none"/>
          <w:right w:val="none"/>
          <w:insideH w:val="none"/>
          <w:insideV w:val="none"/>
        </w:tblBorders>
      </w:tblPr>
      <w:tblGrid>
        <w:gridCol w:w="6200"/>
        <w:gridCol w:w="3160"/>
      </w:tblGrid>
      <w:tr>
        <w:trPr>
          <w:cantSplit/>
          <w:tblHeader/>
        </w:trPr>
        <w:tc>
          <w:tcPr>
            <w:tcW w:type="dxa" w:w="6200"/>
            <w:tcBorders>
              <w:top w:val="none"/>
              <w:left w:val="none"/>
              <w:bottom w:val="single" w:color="1F4E5F" w:sz="8"/>
              <w:right w:val="none"/>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
            </w:r>
          </w:p>
        </w:tc>
        <w:tc>
          <w:tcPr>
            <w:tcW w:type="dxa" w:w="3160"/>
            <w:tcBorders>
              <w:top w:val="none"/>
              <w:left w:val="none"/>
              <w:bottom w:val="single" w:color="1F4E5F" w:sz="8"/>
              <w:right w:val="none"/>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
            </w:r>
          </w:p>
        </w:tc>
      </w:tr>
      <w:tr>
        <w:trPr>
          <w:cantSplit/>
        </w:trPr>
        <w:tc>
          <w:tcPr>
            <w:tcW w:type="dxa" w:w="62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1. Executive summary</w:t>
            </w:r>
          </w:p>
        </w:tc>
        <w:tc>
          <w:tcPr>
            <w:tcW w:type="dxa" w:w="31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The number, what drives it, and the recommendation</w:t>
            </w:r>
          </w:p>
        </w:tc>
      </w:tr>
      <w:tr>
        <w:trPr>
          <w:cantSplit/>
        </w:trPr>
        <w:tc>
          <w:tcPr>
            <w:tcW w:type="dxa" w:w="6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2. Basis of estimate</w:t>
            </w:r>
          </w:p>
        </w:tc>
        <w:tc>
          <w:tcPr>
            <w:tcW w:type="dxa" w:w="3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What is deployed, what production is defined as, where the rates come from</w:t>
            </w:r>
          </w:p>
        </w:tc>
      </w:tr>
      <w:tr>
        <w:trPr>
          <w:cantSplit/>
        </w:trPr>
        <w:tc>
          <w:tcPr>
            <w:tcW w:type="dxa" w:w="62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3. The architecture being priced</w:t>
            </w:r>
          </w:p>
        </w:tc>
        <w:tc>
          <w:tcPr>
            <w:tcW w:type="dxa" w:w="31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Resource inventory and two cost leaks already in the Terraform</w:t>
            </w:r>
          </w:p>
        </w:tc>
      </w:tr>
      <w:tr>
        <w:trPr>
          <w:cantSplit/>
        </w:trPr>
        <w:tc>
          <w:tcPr>
            <w:tcW w:type="dxa" w:w="6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4. Workload assumptions</w:t>
            </w:r>
          </w:p>
        </w:tc>
        <w:tc>
          <w:tcPr>
            <w:tcW w:type="dxa" w:w="3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The three scenarios and the assumptions worth challenging</w:t>
            </w:r>
          </w:p>
        </w:tc>
      </w:tr>
      <w:tr>
        <w:trPr>
          <w:cantSplit/>
        </w:trPr>
        <w:tc>
          <w:tcPr>
            <w:tcW w:type="dxa" w:w="62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5. Cost detail — scenario B</w:t>
            </w:r>
          </w:p>
        </w:tc>
        <w:tc>
          <w:tcPr>
            <w:tcW w:type="dxa" w:w="31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Line by line, plus the vendor layer</w:t>
            </w:r>
          </w:p>
        </w:tc>
      </w:tr>
      <w:tr>
        <w:trPr>
          <w:cantSplit/>
        </w:trPr>
        <w:tc>
          <w:tcPr>
            <w:tcW w:type="dxa" w:w="6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6. Scenario comparison</w:t>
            </w:r>
          </w:p>
        </w:tc>
        <w:tc>
          <w:tcPr>
            <w:tcW w:type="dxa" w:w="3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The same architecture at three workloads</w:t>
            </w:r>
          </w:p>
        </w:tc>
      </w:tr>
      <w:tr>
        <w:trPr>
          <w:cantSplit/>
        </w:trPr>
        <w:tc>
          <w:tcPr>
            <w:tcW w:type="dxa" w:w="62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7. Optimisation levers</w:t>
            </w:r>
          </w:p>
        </w:tc>
        <w:tc>
          <w:tcPr>
            <w:tcW w:type="dxa" w:w="31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Nine levers, sequenced, and what to do first</w:t>
            </w:r>
          </w:p>
        </w:tc>
      </w:tr>
      <w:tr>
        <w:trPr>
          <w:cantSplit/>
        </w:trPr>
        <w:tc>
          <w:tcPr>
            <w:tcW w:type="dxa" w:w="6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8. Third-party vendors</w:t>
            </w:r>
          </w:p>
        </w:tc>
        <w:tc>
          <w:tcPr>
            <w:tcW w:type="dxa" w:w="3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Fixed subscriptions, pass-through costs, FX exposure</w:t>
            </w:r>
          </w:p>
        </w:tc>
      </w:tr>
      <w:tr>
        <w:trPr>
          <w:cantSplit/>
        </w:trPr>
        <w:tc>
          <w:tcPr>
            <w:tcW w:type="dxa" w:w="62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9. Gaps and unmodelled costs</w:t>
            </w:r>
          </w:p>
        </w:tc>
        <w:tc>
          <w:tcPr>
            <w:tcW w:type="dxa" w:w="31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What the architecture requires and no Terraform defines</w:t>
            </w:r>
          </w:p>
        </w:tc>
      </w:tr>
      <w:tr>
        <w:trPr>
          <w:cantSplit/>
        </w:trPr>
        <w:tc>
          <w:tcPr>
            <w:tcW w:type="dxa" w:w="6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10. Cost risks</w:t>
            </w:r>
          </w:p>
        </w:tc>
        <w:tc>
          <w:tcPr>
            <w:tcW w:type="dxa" w:w="3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Eight exposures and their mitigations</w:t>
            </w:r>
          </w:p>
        </w:tc>
      </w:tr>
      <w:tr>
        <w:trPr>
          <w:cantSplit/>
        </w:trPr>
        <w:tc>
          <w:tcPr>
            <w:tcW w:type="dxa" w:w="62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11. Recommended next steps</w:t>
            </w:r>
          </w:p>
        </w:tc>
        <w:tc>
          <w:tcPr>
            <w:tcW w:type="dxa" w:w="31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Ten actions, with owners</w:t>
            </w:r>
          </w:p>
        </w:tc>
      </w:tr>
      <w:tr>
        <w:trPr>
          <w:cantSplit/>
        </w:trPr>
        <w:tc>
          <w:tcPr>
            <w:tcW w:type="dxa" w:w="6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Appendix A</w:t>
            </w:r>
          </w:p>
        </w:tc>
        <w:tc>
          <w:tcPr>
            <w:tcW w:type="dxa" w:w="3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Unit rate register and sources</w:t>
            </w:r>
          </w:p>
        </w:tc>
      </w:tr>
    </w:tbl>
    <w:p>
      <w:r>
        <w:br w:type="page"/>
      </w:r>
    </w:p>
    <w:p>
      <w:pPr>
        <w:pStyle w:val="Heading1"/>
        <w:keepNext/>
        <w:pBdr>
          <w:bottom w:val="single" w:color="1F4E5F" w:sz="8" w:space="6"/>
        </w:pBdr>
        <w:spacing w:after="160" w:before="360"/>
      </w:pPr>
      <w:r>
        <w:rPr>
          <w:rFonts w:ascii="Calibri" w:cs="Calibri" w:eastAsia="Calibri" w:hAnsi="Calibri"/>
          <w:b/>
          <w:bCs/>
          <w:color w:val="1F4E5F"/>
          <w:sz w:val="30"/>
          <w:szCs w:val="30"/>
        </w:rPr>
        <w:t xml:space="preserve">1. Executive summary</w:t>
      </w:r>
    </w:p>
    <w:p>
      <w:pPr>
        <w:spacing w:after="200" w:before="0" w:line="276"/>
      </w:pPr>
      <w:r>
        <w:rPr>
          <w:rFonts w:ascii="Calibri" w:cs="Calibri" w:eastAsia="Calibri" w:hAnsi="Calibri"/>
          <w:color w:val="1A1A1A"/>
          <w:sz w:val="20"/>
          <w:szCs w:val="20"/>
        </w:rPr>
        <w:t xml:space="preserve">Running Fabric in production on AWS Ireland costs between roughly $470 and $4,000 per month depending on how much traffic the platform carries. At the launch scale we recommend — 25 tenants and 300,000 SMS a month — the all-in run-rate is about $1,290 per month: $666 of AWS infrastructure, $45 of vendor subscriptions, and $583 of prepaid SMS credit that is a direct cost of goods sold rather than an infrastructure cost.</w:t>
      </w:r>
    </w:p>
    <w:tbl>
      <w:tblPr>
        <w:tblW w:type="dxa" w:w="9360"/>
        <w:tblBorders>
          <w:top w:val="none"/>
          <w:left w:val="none"/>
          <w:bottom w:val="none"/>
          <w:right w:val="none"/>
          <w:insideH w:val="none"/>
          <w:insideV w:val="none"/>
        </w:tblBorders>
      </w:tblPr>
      <w:tblGrid>
        <w:gridCol w:w="2340"/>
        <w:gridCol w:w="2340"/>
        <w:gridCol w:w="2340"/>
        <w:gridCol w:w="2340"/>
      </w:tblGrid>
      <w:tr>
        <w:trPr>
          <w:cantSplit/>
        </w:trPr>
        <w:tc>
          <w:tcPr>
            <w:tcW w:type="dxa" w:w="2340"/>
            <w:tcBorders>
              <w:top w:val="single" w:color="1F4E5F" w:sz="18"/>
              <w:left w:val="single" w:color="FFFFFF" w:sz="12"/>
              <w:bottom w:val="none"/>
              <w:right w:val="single" w:color="FFFFFF" w:sz="12"/>
            </w:tcBorders>
            <w:shd w:fill="E8F0F2" w:color="auto" w:val="clear"/>
            <w:tcMar>
              <w:top w:type="dxa" w:w="170"/>
              <w:left w:type="dxa" w:w="120"/>
              <w:bottom w:type="dxa" w:w="170"/>
              <w:right w:type="dxa" w:w="120"/>
            </w:tcMar>
          </w:tcPr>
          <w:p>
            <w:pPr>
              <w:spacing w:after="40"/>
              <w:jc w:val="center"/>
            </w:pPr>
            <w:r>
              <w:rPr>
                <w:rFonts w:ascii="Calibri" w:cs="Calibri" w:eastAsia="Calibri" w:hAnsi="Calibri"/>
                <w:b/>
                <w:bCs/>
                <w:color w:val="1F4E5F"/>
                <w:sz w:val="34"/>
                <w:szCs w:val="34"/>
              </w:rPr>
              <w:t xml:space="preserve">$666</w:t>
            </w:r>
          </w:p>
          <w:p>
            <w:pPr>
              <w:spacing w:after="30"/>
              <w:jc w:val="center"/>
            </w:pPr>
            <w:r>
              <w:rPr>
                <w:rFonts w:ascii="Calibri" w:cs="Calibri" w:eastAsia="Calibri" w:hAnsi="Calibri"/>
                <w:caps/>
                <w:color w:val="1A1A1A"/>
                <w:spacing w:val="12"/>
                <w:sz w:val="16"/>
                <w:szCs w:val="16"/>
              </w:rPr>
              <w:t xml:space="preserve">AWS / month</w:t>
            </w:r>
          </w:p>
          <w:p>
            <w:pPr>
              <w:spacing w:after="0"/>
              <w:jc w:val="center"/>
            </w:pPr>
            <w:r>
              <w:rPr>
                <w:rFonts w:ascii="Calibri" w:cs="Calibri" w:eastAsia="Calibri" w:hAnsi="Calibri"/>
                <w:i/>
                <w:iCs/>
                <w:color w:val="5B6470"/>
                <w:sz w:val="15"/>
                <w:szCs w:val="15"/>
              </w:rPr>
              <w:t xml:space="preserve">at launch scale</w:t>
            </w:r>
          </w:p>
        </w:tc>
        <w:tc>
          <w:tcPr>
            <w:tcW w:type="dxa" w:w="2340"/>
            <w:tcBorders>
              <w:top w:val="single" w:color="1F4E5F" w:sz="18"/>
              <w:left w:val="single" w:color="FFFFFF" w:sz="12"/>
              <w:bottom w:val="none"/>
              <w:right w:val="single" w:color="FFFFFF" w:sz="12"/>
            </w:tcBorders>
            <w:shd w:fill="E8F0F2" w:color="auto" w:val="clear"/>
            <w:tcMar>
              <w:top w:type="dxa" w:w="170"/>
              <w:left w:type="dxa" w:w="120"/>
              <w:bottom w:type="dxa" w:w="170"/>
              <w:right w:type="dxa" w:w="120"/>
            </w:tcMar>
          </w:tcPr>
          <w:p>
            <w:pPr>
              <w:spacing w:after="40"/>
              <w:jc w:val="center"/>
            </w:pPr>
            <w:r>
              <w:rPr>
                <w:rFonts w:ascii="Calibri" w:cs="Calibri" w:eastAsia="Calibri" w:hAnsi="Calibri"/>
                <w:b/>
                <w:bCs/>
                <w:color w:val="1F4E5F"/>
                <w:sz w:val="34"/>
                <w:szCs w:val="34"/>
              </w:rPr>
              <w:t xml:space="preserve">$1,294</w:t>
            </w:r>
          </w:p>
          <w:p>
            <w:pPr>
              <w:spacing w:after="30"/>
              <w:jc w:val="center"/>
            </w:pPr>
            <w:r>
              <w:rPr>
                <w:rFonts w:ascii="Calibri" w:cs="Calibri" w:eastAsia="Calibri" w:hAnsi="Calibri"/>
                <w:caps/>
                <w:color w:val="1A1A1A"/>
                <w:spacing w:val="12"/>
                <w:sz w:val="16"/>
                <w:szCs w:val="16"/>
              </w:rPr>
              <w:t xml:space="preserve">All-in / month</w:t>
            </w:r>
          </w:p>
          <w:p>
            <w:pPr>
              <w:spacing w:after="0"/>
              <w:jc w:val="center"/>
            </w:pPr>
            <w:r>
              <w:rPr>
                <w:rFonts w:ascii="Calibri" w:cs="Calibri" w:eastAsia="Calibri" w:hAnsi="Calibri"/>
                <w:i/>
                <w:iCs/>
                <w:color w:val="5B6470"/>
                <w:sz w:val="15"/>
                <w:szCs w:val="15"/>
              </w:rPr>
              <w:t xml:space="preserve">including vendors</w:t>
            </w:r>
          </w:p>
        </w:tc>
        <w:tc>
          <w:tcPr>
            <w:tcW w:type="dxa" w:w="2340"/>
            <w:tcBorders>
              <w:top w:val="single" w:color="1F4E5F" w:sz="18"/>
              <w:left w:val="single" w:color="FFFFFF" w:sz="12"/>
              <w:bottom w:val="none"/>
              <w:right w:val="single" w:color="FFFFFF" w:sz="12"/>
            </w:tcBorders>
            <w:shd w:fill="E8F0F2" w:color="auto" w:val="clear"/>
            <w:tcMar>
              <w:top w:type="dxa" w:w="170"/>
              <w:left w:type="dxa" w:w="120"/>
              <w:bottom w:type="dxa" w:w="170"/>
              <w:right w:type="dxa" w:w="120"/>
            </w:tcMar>
          </w:tcPr>
          <w:p>
            <w:pPr>
              <w:spacing w:after="40"/>
              <w:jc w:val="center"/>
            </w:pPr>
            <w:r>
              <w:rPr>
                <w:rFonts w:ascii="Calibri" w:cs="Calibri" w:eastAsia="Calibri" w:hAnsi="Calibri"/>
                <w:b/>
                <w:bCs/>
                <w:color w:val="1F4E5F"/>
                <w:sz w:val="34"/>
                <w:szCs w:val="34"/>
              </w:rPr>
              <w:t xml:space="preserve">$995</w:t>
            </w:r>
          </w:p>
          <w:p>
            <w:pPr>
              <w:spacing w:after="30"/>
              <w:jc w:val="center"/>
            </w:pPr>
            <w:r>
              <w:rPr>
                <w:rFonts w:ascii="Calibri" w:cs="Calibri" w:eastAsia="Calibri" w:hAnsi="Calibri"/>
                <w:caps/>
                <w:color w:val="1A1A1A"/>
                <w:spacing w:val="12"/>
                <w:sz w:val="16"/>
                <w:szCs w:val="16"/>
              </w:rPr>
              <w:t xml:space="preserve">Optimised</w:t>
            </w:r>
          </w:p>
          <w:p>
            <w:pPr>
              <w:spacing w:after="0"/>
              <w:jc w:val="center"/>
            </w:pPr>
            <w:r>
              <w:rPr>
                <w:rFonts w:ascii="Calibri" w:cs="Calibri" w:eastAsia="Calibri" w:hAnsi="Calibri"/>
                <w:i/>
                <w:iCs/>
                <w:color w:val="5B6470"/>
                <w:sz w:val="15"/>
                <w:szCs w:val="15"/>
              </w:rPr>
              <w:t xml:space="preserve">after the levers in §7</w:t>
            </w:r>
          </w:p>
        </w:tc>
        <w:tc>
          <w:tcPr>
            <w:tcW w:type="dxa" w:w="2340"/>
            <w:tcBorders>
              <w:top w:val="single" w:color="1F4E5F" w:sz="18"/>
              <w:left w:val="single" w:color="FFFFFF" w:sz="12"/>
              <w:bottom w:val="none"/>
              <w:right w:val="single" w:color="FFFFFF" w:sz="12"/>
            </w:tcBorders>
            <w:shd w:fill="E8F0F2" w:color="auto" w:val="clear"/>
            <w:tcMar>
              <w:top w:type="dxa" w:w="170"/>
              <w:left w:type="dxa" w:w="120"/>
              <w:bottom w:type="dxa" w:w="170"/>
              <w:right w:type="dxa" w:w="120"/>
            </w:tcMar>
          </w:tcPr>
          <w:p>
            <w:pPr>
              <w:spacing w:after="40"/>
              <w:jc w:val="center"/>
            </w:pPr>
            <w:r>
              <w:rPr>
                <w:rFonts w:ascii="Calibri" w:cs="Calibri" w:eastAsia="Calibri" w:hAnsi="Calibri"/>
                <w:b/>
                <w:bCs/>
                <w:color w:val="1F4E5F"/>
                <w:sz w:val="34"/>
                <w:szCs w:val="34"/>
              </w:rPr>
              <w:t xml:space="preserve">$27/mo</w:t>
            </w:r>
          </w:p>
          <w:p>
            <w:pPr>
              <w:spacing w:after="30"/>
              <w:jc w:val="center"/>
            </w:pPr>
            <w:r>
              <w:rPr>
                <w:rFonts w:ascii="Calibri" w:cs="Calibri" w:eastAsia="Calibri" w:hAnsi="Calibri"/>
                <w:caps/>
                <w:color w:val="1A1A1A"/>
                <w:spacing w:val="12"/>
                <w:sz w:val="16"/>
                <w:szCs w:val="16"/>
              </w:rPr>
              <w:t xml:space="preserve">AWS per tenant</w:t>
            </w:r>
          </w:p>
          <w:p>
            <w:pPr>
              <w:spacing w:after="0"/>
              <w:jc w:val="center"/>
            </w:pPr>
            <w:r>
              <w:rPr>
                <w:rFonts w:ascii="Calibri" w:cs="Calibri" w:eastAsia="Calibri" w:hAnsi="Calibri"/>
                <w:i/>
                <w:iCs/>
                <w:color w:val="5B6470"/>
                <w:sz w:val="15"/>
                <w:szCs w:val="15"/>
              </w:rPr>
              <w:t xml:space="preserve">25 tenants</w:t>
            </w:r>
          </w:p>
        </w:tc>
      </w:tr>
    </w:tbl>
    <w:p>
      <w:pPr>
        <w:spacing w:after="240"/>
      </w:pPr>
      <w:r>
        <w:rPr>
          <w:sz w:val="2"/>
          <w:szCs w:val="2"/>
        </w:rPr>
        <w:t xml:space="preserve"/>
      </w:r>
    </w:p>
    <w:p>
      <w:pPr>
        <w:spacing w:after="200" w:before="0" w:line="276"/>
      </w:pPr>
      <w:r>
        <w:rPr>
          <w:rFonts w:ascii="Calibri" w:cs="Calibri" w:eastAsia="Calibri" w:hAnsi="Calibri"/>
          <w:color w:val="1A1A1A"/>
          <w:sz w:val="20"/>
          <w:szCs w:val="20"/>
        </w:rPr>
        <w:t xml:space="preserve">The infrastructure cost is small in absolute terms and almost entirely fixed. That is the important shape of this estimate: at launch scale Fabric pays for standing capacity, not for traffic. Quadrupling the request volume from 3.5 million to 15 million a month raises AWS spend by only about 50 per cent, and most of that increase is a bigger database rather than more requests. Marginal cost per API call is close to zero; marginal cost per SMS is entirely the carrier's.</w:t>
      </w:r>
    </w:p>
    <w:p>
      <w:pPr>
        <w:pStyle w:val="Heading3"/>
        <w:keepNext/>
        <w:spacing w:after="80" w:before="200"/>
      </w:pPr>
      <w:r>
        <w:rPr>
          <w:rFonts w:ascii="Calibri" w:cs="Calibri" w:eastAsia="Calibri" w:hAnsi="Calibri"/>
          <w:b/>
          <w:bCs/>
          <w:caps/>
          <w:color w:val="5B6470"/>
          <w:spacing w:val="12"/>
          <w:sz w:val="20"/>
          <w:szCs w:val="20"/>
        </w:rPr>
        <w:t xml:space="preserve">What drives the number</w:t>
      </w:r>
    </w:p>
    <w:tbl>
      <w:tblPr>
        <w:tblW w:type="dxa" w:w="9360"/>
        <w:tblBorders>
          <w:top w:val="none"/>
          <w:left w:val="none"/>
          <w:bottom w:val="none"/>
          <w:right w:val="none"/>
          <w:insideH w:val="none"/>
          <w:insideV w:val="none"/>
        </w:tblBorders>
      </w:tblPr>
      <w:tblGrid>
        <w:gridCol w:w="3100"/>
        <w:gridCol w:w="1900"/>
        <w:gridCol w:w="4360"/>
      </w:tblGrid>
      <w:tr>
        <w:trPr>
          <w:cantSplit/>
          <w:tblHeader/>
        </w:trPr>
        <w:tc>
          <w:tcPr>
            <w:tcW w:type="dxa" w:w="31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Driver</w:t>
            </w:r>
          </w:p>
        </w:tc>
        <w:tc>
          <w:tcPr>
            <w:tcW w:type="dxa" w:w="19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aps/>
                <w:color w:val="FFFFFF"/>
                <w:spacing w:val="10"/>
                <w:sz w:val="15"/>
                <w:szCs w:val="15"/>
              </w:rPr>
              <w:t xml:space="preserve">Share of AWS spend</w:t>
            </w:r>
          </w:p>
        </w:tc>
        <w:tc>
          <w:tcPr>
            <w:tcW w:type="dxa" w:w="436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Why</w:t>
            </w:r>
          </w:p>
        </w:tc>
      </w:tr>
      <w:tr>
        <w:trPr>
          <w:cantSplit/>
        </w:trPr>
        <w:tc>
          <w:tcPr>
            <w:tcW w:type="dxa" w:w="31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Redis cache tier</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30%</w:t>
            </w:r>
          </w:p>
        </w:tc>
        <w:tc>
          <w:tcPr>
            <w:tcW w:type="dxa" w:w="43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Four Multi-AZ nodes across two separate replication groups. The single largest line, and the one most over-provisioned for launch.</w:t>
            </w:r>
          </w:p>
        </w:tc>
      </w:tr>
      <w:tr>
        <w:trPr>
          <w:cantSplit/>
        </w:trPr>
        <w:tc>
          <w:tcPr>
            <w:tcW w:type="dxa" w:w="3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Fargate compute</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19%</w:t>
            </w:r>
          </w:p>
        </w:tc>
        <w:tc>
          <w:tcPr>
            <w:tcW w:type="dxa" w:w="43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Five standing tasks across four services. Scales with traffic, but from a low base.</w:t>
            </w:r>
          </w:p>
        </w:tc>
      </w:tr>
      <w:tr>
        <w:trPr>
          <w:cantSplit/>
        </w:trPr>
        <w:tc>
          <w:tcPr>
            <w:tcW w:type="dxa" w:w="31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NAT Gateways</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17%</w:t>
            </w:r>
          </w:p>
        </w:tc>
        <w:tc>
          <w:tcPr>
            <w:tcW w:type="dxa" w:w="43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Three gateways, one per availability zone, billed hourly whether or not they carry traffic.</w:t>
            </w:r>
          </w:p>
        </w:tc>
      </w:tr>
      <w:tr>
        <w:trPr>
          <w:cantSplit/>
        </w:trPr>
        <w:tc>
          <w:tcPr>
            <w:tcW w:type="dxa" w:w="3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RDS PostgreSQL</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23%</w:t>
            </w:r>
          </w:p>
        </w:tc>
        <w:tc>
          <w:tcPr>
            <w:tcW w:type="dxa" w:w="43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Multi-AZ doubles the instance and storage rate. Non-negotiable for a payments ledger.</w:t>
            </w:r>
          </w:p>
        </w:tc>
      </w:tr>
      <w:tr>
        <w:trPr>
          <w:cantSplit/>
        </w:trPr>
        <w:tc>
          <w:tcPr>
            <w:tcW w:type="dxa" w:w="31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Everything else</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11%</w:t>
            </w:r>
          </w:p>
        </w:tc>
        <w:tc>
          <w:tcPr>
            <w:tcW w:type="dxa" w:w="43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Edge, WAF, logging, secrets, DNS, registry and storage combined. Individually trivial.</w:t>
            </w:r>
          </w:p>
        </w:tc>
      </w:tr>
    </w:tbl>
    <w:p>
      <w:pPr>
        <w:spacing w:after="240"/>
      </w:pPr>
      <w:r>
        <w:rPr>
          <w:sz w:val="2"/>
          <w:szCs w:val="2"/>
        </w:rPr>
        <w:t xml:space="preserve"/>
      </w:r>
    </w:p>
    <w:p>
      <w:pPr>
        <w:spacing w:after="140" w:before="0" w:line="276"/>
      </w:pPr>
      <w:r>
        <w:rPr>
          <w:rFonts w:ascii="Calibri" w:cs="Calibri" w:eastAsia="Calibri" w:hAnsi="Calibri"/>
          <w:color w:val="1A1A1A"/>
          <w:sz w:val="20"/>
          <w:szCs w:val="20"/>
        </w:rPr>
        <w:t xml:space="preserve">Three findings are worth surfacing at this level because each changes a number materially.</w:t>
      </w:r>
    </w:p>
    <w:p>
      <w:pPr>
        <w:pStyle w:val="ListParagraph"/>
        <w:numPr>
          <w:ilvl w:val="0"/>
          <w:numId w:val="2"/>
        </w:numPr>
        <w:spacing w:after="90" w:line="276"/>
      </w:pPr>
      <w:r>
        <w:rPr>
          <w:rFonts w:ascii="Calibri" w:cs="Calibri" w:eastAsia="Calibri" w:hAnsi="Calibri"/>
          <w:b/>
          <w:bCs/>
          <w:color w:val="1A1A1A"/>
          <w:sz w:val="20"/>
          <w:szCs w:val="20"/>
        </w:rPr>
        <w:t xml:space="preserve">Identity is free. </w:t>
      </w:r>
      <w:r>
        <w:rPr>
          <w:rFonts w:ascii="Calibri" w:cs="Calibri" w:eastAsia="Calibri" w:hAnsi="Calibri"/>
          <w:color w:val="1A1A1A"/>
          <w:sz w:val="20"/>
          <w:szCs w:val="20"/>
        </w:rPr>
        <w:t xml:space="preserve">WorkOS gives 1,000,000 monthly active users at no charge on User Management. Fabric's identity provider — the component most people assume is a major line item — costs nothing until the platform is at a scale far beyond this plan. Enterprise SSO is the only paid path, at $125 per connection per month, and it is a per-customer upsell rather than a platform cost.</w:t>
      </w:r>
    </w:p>
    <w:p>
      <w:pPr>
        <w:pStyle w:val="ListParagraph"/>
        <w:numPr>
          <w:ilvl w:val="0"/>
          <w:numId w:val="2"/>
        </w:numPr>
        <w:spacing w:after="90" w:line="276"/>
      </w:pPr>
      <w:r>
        <w:rPr>
          <w:rFonts w:ascii="Calibri" w:cs="Calibri" w:eastAsia="Calibri" w:hAnsi="Calibri"/>
          <w:b/>
          <w:bCs/>
          <w:color w:val="1A1A1A"/>
          <w:sz w:val="20"/>
          <w:szCs w:val="20"/>
        </w:rPr>
        <w:t xml:space="preserve">The edge is free too. </w:t>
      </w:r>
      <w:r>
        <w:rPr>
          <w:rFonts w:ascii="Calibri" w:cs="Calibri" w:eastAsia="Calibri" w:hAnsi="Calibri"/>
          <w:color w:val="1A1A1A"/>
          <w:sz w:val="20"/>
          <w:szCs w:val="20"/>
        </w:rPr>
        <w:t xml:space="preserve">CloudFront's perpetual free tier of 1 TB egress and 10 million requests a month absorbs the entire launch workload. Edge delivery costs $0 at launch and only $6 a month at four times the volume.</w:t>
      </w:r>
    </w:p>
    <w:p>
      <w:pPr>
        <w:pStyle w:val="ListParagraph"/>
        <w:numPr>
          <w:ilvl w:val="0"/>
          <w:numId w:val="2"/>
        </w:numPr>
        <w:spacing w:after="90" w:line="276"/>
      </w:pPr>
      <w:r>
        <w:rPr>
          <w:rFonts w:ascii="Calibri" w:cs="Calibri" w:eastAsia="Calibri" w:hAnsi="Calibri"/>
          <w:b/>
          <w:bCs/>
          <w:color w:val="1A1A1A"/>
          <w:sz w:val="20"/>
          <w:szCs w:val="20"/>
        </w:rPr>
        <w:t xml:space="preserve">Two shapes inherited from the testing Terraform waste about $152 a month. </w:t>
      </w:r>
      <w:r>
        <w:rPr>
          <w:rFonts w:ascii="Calibri" w:cs="Calibri" w:eastAsia="Calibri" w:hAnsi="Calibri"/>
          <w:color w:val="1A1A1A"/>
          <w:sz w:val="20"/>
          <w:szCs w:val="20"/>
        </w:rPr>
        <w:t xml:space="preserve">The Redis tier runs four Multi-AZ nodes across two replication groups when the queue needs two and the cache needs one — $74 a month of that at launch-tier node sizes. And three NAT Gateways, one per availability zone, cost $116 a month in standing charges to protect an egress path carrying under 200 GB, of which $77 is the two redundant gateways. Both are addressed in §7.</w:t>
      </w:r>
    </w:p>
    <w:p>
      <w:pPr>
        <w:spacing w:after="200"/>
      </w:pPr>
      <w:r>
        <w:rPr>
          <w:sz w:val="2"/>
          <w:szCs w:val="2"/>
        </w:rPr>
        <w:t xml:space="preserve"/>
      </w:r>
    </w:p>
    <w:tbl>
      <w:tblPr>
        <w:tblW w:type="dxa" w:w="9360"/>
        <w:tblBorders>
          <w:top w:val="none"/>
          <w:left w:val="none"/>
          <w:bottom w:val="none"/>
          <w:right w:val="none"/>
          <w:insideH w:val="none"/>
          <w:insideV w:val="none"/>
        </w:tblBorders>
      </w:tblPr>
      <w:tblGrid>
        <w:gridCol w:w="60"/>
        <w:gridCol w:w="9300"/>
      </w:tblGrid>
      <w:tr>
        <w:trPr>
          <w:cantSplit/>
        </w:trPr>
        <w:tc>
          <w:tcPr>
            <w:tcW w:type="dxa" w:w="60"/>
            <w:tcBorders>
              <w:top w:val="none"/>
              <w:left w:val="none"/>
              <w:bottom w:val="none"/>
              <w:right w:val="none"/>
            </w:tcBorders>
            <w:shd w:fill="1F4E5F" w:color="auto" w:val="clear"/>
            <w:tcMar>
              <w:top w:type="dxa" w:w="0"/>
              <w:left w:type="dxa" w:w="0"/>
              <w:bottom w:type="dxa" w:w="0"/>
              <w:right w:type="dxa" w:w="0"/>
            </w:tcMar>
          </w:tcPr>
          <w:p>
            <w:r>
              <w:rPr>
                <w:sz w:val="2"/>
                <w:szCs w:val="2"/>
              </w:rPr>
              <w:t xml:space="preserve"/>
            </w:r>
          </w:p>
        </w:tc>
        <w:tc>
          <w:tcPr>
            <w:tcW w:type="dxa" w:w="9300"/>
            <w:tcBorders>
              <w:top w:val="none"/>
              <w:left w:val="none"/>
              <w:bottom w:val="none"/>
              <w:right w:val="none"/>
            </w:tcBorders>
            <w:shd w:fill="E8F0F2" w:color="auto" w:val="clear"/>
            <w:tcMar>
              <w:top w:type="dxa" w:w="150"/>
              <w:left w:type="dxa" w:w="200"/>
              <w:bottom w:type="dxa" w:w="150"/>
              <w:right w:type="dxa" w:w="200"/>
            </w:tcMar>
          </w:tcPr>
          <w:p>
            <w:pPr>
              <w:spacing w:after="60"/>
            </w:pPr>
            <w:r>
              <w:rPr>
                <w:rFonts w:ascii="Calibri" w:cs="Calibri" w:eastAsia="Calibri" w:hAnsi="Calibri"/>
                <w:b/>
                <w:bCs/>
                <w:caps/>
                <w:color w:val="1F4E5F"/>
                <w:spacing w:val="10"/>
                <w:sz w:val="19"/>
                <w:szCs w:val="19"/>
              </w:rPr>
              <w:t xml:space="preserve">The recommendation</w:t>
            </w:r>
          </w:p>
          <w:p>
            <w:pPr>
              <w:spacing w:after="90" w:line="276"/>
            </w:pPr>
            <w:r>
              <w:rPr>
                <w:rFonts w:ascii="Calibri" w:cs="Calibri" w:eastAsia="Calibri" w:hAnsi="Calibri"/>
                <w:color w:val="1A1A1A"/>
                <w:sz w:val="19"/>
                <w:szCs w:val="19"/>
              </w:rPr>
              <w:t xml:space="preserve">Budget </w:t>
            </w:r>
            <w:r>
              <w:rPr>
                <w:rFonts w:ascii="Calibri" w:cs="Calibri" w:eastAsia="Calibri" w:hAnsi="Calibri"/>
                <w:b/>
                <w:bCs/>
                <w:color w:val="1A1A1A"/>
                <w:sz w:val="19"/>
                <w:szCs w:val="19"/>
              </w:rPr>
              <w:t xml:space="preserve">$1,294 per month</w:t>
            </w:r>
            <w:r>
              <w:rPr>
                <w:rFonts w:ascii="Calibri" w:cs="Calibri" w:eastAsia="Calibri" w:hAnsi="Calibri"/>
                <w:color w:val="1A1A1A"/>
                <w:sz w:val="19"/>
                <w:szCs w:val="19"/>
              </w:rPr>
              <w:t xml:space="preserve"> (</w:t>
            </w:r>
            <w:r>
              <w:rPr>
                <w:rFonts w:ascii="Calibri" w:cs="Calibri" w:eastAsia="Calibri" w:hAnsi="Calibri"/>
                <w:b/>
                <w:bCs/>
                <w:color w:val="1A1A1A"/>
                <w:sz w:val="19"/>
                <w:szCs w:val="19"/>
              </w:rPr>
              <w:t xml:space="preserve">$15,532</w:t>
            </w:r>
            <w:r>
              <w:rPr>
                <w:rFonts w:ascii="Calibri" w:cs="Calibri" w:eastAsia="Calibri" w:hAnsi="Calibri"/>
                <w:color w:val="1A1A1A"/>
                <w:sz w:val="19"/>
                <w:szCs w:val="19"/>
              </w:rPr>
              <w:t xml:space="preserve"> per year) for the launch tier as currently designed — but see §9, which adds a further $180 to $435 of infrastructure the architecture documents require and no Terraform yet defines.</w:t>
            </w:r>
          </w:p>
          <w:p>
            <w:pPr>
              <w:spacing w:after="0" w:line="276"/>
            </w:pPr>
            <w:r>
              <w:rPr>
                <w:rFonts w:ascii="Calibri" w:cs="Calibri" w:eastAsia="Calibri" w:hAnsi="Calibri"/>
                <w:color w:val="1A1A1A"/>
                <w:sz w:val="19"/>
                <w:szCs w:val="19"/>
              </w:rPr>
              <w:t xml:space="preserve">The </w:t>
            </w:r>
            <w:r>
              <w:rPr>
                <w:rFonts w:ascii="Calibri" w:cs="Calibri" w:eastAsia="Calibri" w:hAnsi="Calibri"/>
                <w:b/>
                <w:bCs/>
                <w:color w:val="1A1A1A"/>
                <w:sz w:val="19"/>
                <w:szCs w:val="19"/>
              </w:rPr>
              <w:t xml:space="preserve">$101 per month</w:t>
            </w:r>
            <w:r>
              <w:rPr>
                <w:rFonts w:ascii="Calibri" w:cs="Calibri" w:eastAsia="Calibri" w:hAnsi="Calibri"/>
                <w:color w:val="1A1A1A"/>
                <w:sz w:val="19"/>
                <w:szCs w:val="19"/>
              </w:rPr>
              <w:t xml:space="preserve"> of zero-risk savings in §7 should be taken before launch, not after: they need no commitment and no availability trade-off, and they bring AWS spend to </w:t>
            </w:r>
            <w:r>
              <w:rPr>
                <w:rFonts w:ascii="Calibri" w:cs="Calibri" w:eastAsia="Calibri" w:hAnsi="Calibri"/>
                <w:b/>
                <w:bCs/>
                <w:color w:val="1A1A1A"/>
                <w:sz w:val="19"/>
                <w:szCs w:val="19"/>
              </w:rPr>
              <w:t xml:space="preserve">$565</w:t>
            </w:r>
            <w:r>
              <w:rPr>
                <w:rFonts w:ascii="Calibri" w:cs="Calibri" w:eastAsia="Calibri" w:hAnsi="Calibri"/>
                <w:color w:val="1A1A1A"/>
                <w:sz w:val="19"/>
                <w:szCs w:val="19"/>
              </w:rPr>
              <w:t xml:space="preserve">. The full set of nine levers reaches </w:t>
            </w:r>
            <w:r>
              <w:rPr>
                <w:rFonts w:ascii="Calibri" w:cs="Calibri" w:eastAsia="Calibri" w:hAnsi="Calibri"/>
                <w:b/>
                <w:bCs/>
                <w:color w:val="1A1A1A"/>
                <w:sz w:val="19"/>
                <w:szCs w:val="19"/>
              </w:rPr>
              <w:t xml:space="preserve">$367</w:t>
            </w:r>
            <w:r>
              <w:rPr>
                <w:rFonts w:ascii="Calibri" w:cs="Calibri" w:eastAsia="Calibri" w:hAnsi="Calibri"/>
                <w:color w:val="1A1A1A"/>
                <w:sz w:val="19"/>
                <w:szCs w:val="19"/>
              </w:rPr>
              <w:t xml:space="preserve">, a </w:t>
            </w:r>
            <w:r>
              <w:rPr>
                <w:rFonts w:ascii="Calibri" w:cs="Calibri" w:eastAsia="Calibri" w:hAnsi="Calibri"/>
                <w:b/>
                <w:bCs/>
                <w:color w:val="1A1A1A"/>
                <w:sz w:val="19"/>
                <w:szCs w:val="19"/>
              </w:rPr>
              <w:t xml:space="preserve">45 per cent reduction</w:t>
            </w:r>
            <w:r>
              <w:rPr>
                <w:rFonts w:ascii="Calibri" w:cs="Calibri" w:eastAsia="Calibri" w:hAnsi="Calibri"/>
                <w:color w:val="1A1A1A"/>
                <w:sz w:val="19"/>
                <w:szCs w:val="19"/>
              </w:rPr>
              <w:t xml:space="preserve">, but two of the nine are one-year commitments that §7.1 recommends deferring to the end of the first quarter.</w:t>
            </w:r>
          </w:p>
        </w:tc>
      </w:tr>
    </w:tbl>
    <w:p>
      <w:pPr>
        <w:spacing w:after="200"/>
      </w:pPr>
      <w:r>
        <w:rPr>
          <w:sz w:val="2"/>
          <w:szCs w:val="2"/>
        </w:rPr>
        <w:t xml:space="preserve"/>
      </w:r>
    </w:p>
    <w:p>
      <w:pPr>
        <w:pStyle w:val="Heading1"/>
        <w:keepNext/>
        <w:pBdr>
          <w:bottom w:val="single" w:color="1F4E5F" w:sz="8" w:space="6"/>
        </w:pBdr>
        <w:spacing w:after="160" w:before="360"/>
      </w:pPr>
      <w:r>
        <w:rPr>
          <w:rFonts w:ascii="Calibri" w:cs="Calibri" w:eastAsia="Calibri" w:hAnsi="Calibri"/>
          <w:b/>
          <w:bCs/>
          <w:color w:val="1F4E5F"/>
          <w:sz w:val="30"/>
          <w:szCs w:val="30"/>
        </w:rPr>
        <w:t xml:space="preserve">2. Basis of estimate</w:t>
      </w:r>
    </w:p>
    <w:p>
      <w:pPr>
        <w:spacing w:after="200" w:before="0" w:line="276"/>
      </w:pPr>
      <w:r>
        <w:rPr>
          <w:rFonts w:ascii="Calibri" w:cs="Calibri" w:eastAsia="Calibri" w:hAnsi="Calibri"/>
          <w:color w:val="1A1A1A"/>
          <w:sz w:val="20"/>
          <w:szCs w:val="20"/>
        </w:rPr>
        <w:t xml:space="preserve">A cost estimate is only as good as its provenance. This section states plainly where each class of number comes from, so that a reader can decide how much weight to put on it.</w:t>
      </w:r>
    </w:p>
    <w:p>
      <w:pPr>
        <w:pStyle w:val="Heading2"/>
        <w:keepNext/>
        <w:spacing w:after="100" w:before="260"/>
      </w:pPr>
      <w:r>
        <w:rPr>
          <w:rFonts w:ascii="Calibri" w:cs="Calibri" w:eastAsia="Calibri" w:hAnsi="Calibri"/>
          <w:b/>
          <w:bCs/>
          <w:color w:val="1A1A1A"/>
          <w:sz w:val="23"/>
          <w:szCs w:val="23"/>
        </w:rPr>
        <w:t xml:space="preserve">2.1 What is actually deployed today</w:t>
      </w:r>
    </w:p>
    <w:p>
      <w:pPr>
        <w:spacing w:after="160" w:before="0" w:line="276"/>
      </w:pPr>
      <w:r>
        <w:rPr>
          <w:rFonts w:ascii="Calibri" w:cs="Calibri" w:eastAsia="Calibri" w:hAnsi="Calibri"/>
          <w:color w:val="1A1A1A"/>
          <w:sz w:val="20"/>
          <w:szCs w:val="20"/>
        </w:rPr>
        <w:t xml:space="preserve">Nothing is running on AWS right now, but something was. The testing environment was deployed to eu-west-1 and ran there until the account was suspended on 18 July 2026 with its credits exhausted. Its Terraform state still lives in a live S3 backend, and stakeholder testing has since moved to a free-tier stack of Vercel, Render and Neon as an interim measure. No production environment has ever been deployed.</w:t>
      </w:r>
    </w:p>
    <w:p>
      <w:pPr>
        <w:spacing w:after="160" w:before="0" w:line="276"/>
      </w:pPr>
      <w:r>
        <w:rPr>
          <w:rFonts w:ascii="Calibri" w:cs="Calibri" w:eastAsia="Calibri" w:hAnsi="Calibri"/>
          <w:color w:val="1A1A1A"/>
          <w:sz w:val="20"/>
          <w:szCs w:val="20"/>
        </w:rPr>
        <w:t xml:space="preserve">That history matters more than it might appear, because it is the best validation available for this estimate. The suspended account holds several months of real billing for the same resource shape being priced here — a three-zone VPC with three NAT Gateways, a Multi-AZ RDS instance, two Redis replication groups — differing from the production tier in instance sizes rather than in structure. Retrieving that Cost Explorer history would settle the unit rates this document flags as least certain far more convincingly than any published price list, and §11 lists it as the first action.</w:t>
      </w:r>
    </w:p>
    <w:p>
      <w:pPr>
        <w:spacing w:after="160" w:before="0" w:line="276"/>
      </w:pPr>
      <w:r>
        <w:rPr>
          <w:rFonts w:ascii="Calibri" w:cs="Calibri" w:eastAsia="Calibri" w:hAnsi="Calibri"/>
          <w:color w:val="1A1A1A"/>
          <w:sz w:val="20"/>
          <w:szCs w:val="20"/>
        </w:rPr>
        <w:t xml:space="preserve">Until it is retrieved, the figures here rest on AWS's published rates and the resource inventory, both reproduced in this document so the arithmetic can be checked independently.</w:t>
      </w:r>
    </w:p>
    <w:p>
      <w:pPr>
        <w:pStyle w:val="Heading2"/>
        <w:keepNext/>
        <w:spacing w:after="100" w:before="260"/>
      </w:pPr>
      <w:r>
        <w:rPr>
          <w:rFonts w:ascii="Calibri" w:cs="Calibri" w:eastAsia="Calibri" w:hAnsi="Calibri"/>
          <w:b/>
          <w:bCs/>
          <w:color w:val="1A1A1A"/>
          <w:sz w:val="23"/>
          <w:szCs w:val="23"/>
        </w:rPr>
        <w:t xml:space="preserve">2.2 What production is defined as</w:t>
      </w:r>
    </w:p>
    <w:p>
      <w:pPr>
        <w:spacing w:after="160" w:before="0" w:line="276"/>
      </w:pPr>
      <w:r>
        <w:rPr>
          <w:rFonts w:ascii="Calibri" w:cs="Calibri" w:eastAsia="Calibri" w:hAnsi="Calibri"/>
          <w:color w:val="1A1A1A"/>
          <w:sz w:val="20"/>
          <w:szCs w:val="20"/>
        </w:rPr>
        <w:t xml:space="preserve">The Terraform workspace contains four stacks. Only two carry resources, and neither of those is production.</w:t>
      </w:r>
    </w:p>
    <w:tbl>
      <w:tblPr>
        <w:tblW w:type="dxa" w:w="9360"/>
        <w:tblBorders>
          <w:top w:val="none"/>
          <w:left w:val="none"/>
          <w:bottom w:val="none"/>
          <w:right w:val="none"/>
          <w:insideH w:val="none"/>
          <w:insideV w:val="none"/>
        </w:tblBorders>
      </w:tblPr>
      <w:tblGrid>
        <w:gridCol w:w="1900"/>
        <w:gridCol w:w="2400"/>
        <w:gridCol w:w="5060"/>
      </w:tblGrid>
      <w:tr>
        <w:trPr>
          <w:cantSplit/>
          <w:tblHeader/>
        </w:trPr>
        <w:tc>
          <w:tcPr>
            <w:tcW w:type="dxa" w:w="19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Directory</w:t>
            </w:r>
          </w:p>
        </w:tc>
        <w:tc>
          <w:tcPr>
            <w:tcW w:type="dxa" w:w="24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State</w:t>
            </w:r>
          </w:p>
        </w:tc>
        <w:tc>
          <w:tcPr>
            <w:tcW w:type="dxa" w:w="506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What it actually provisions</w:t>
            </w:r>
          </w:p>
        </w:tc>
      </w:tr>
      <w:tr>
        <w:trPr>
          <w:cantSplit/>
        </w:trPr>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i/>
                <w:iCs/>
                <w:color w:val="1A1A1A"/>
                <w:sz w:val="18"/>
                <w:szCs w:val="18"/>
              </w:rPr>
              <w:t xml:space="preserve">infra/bootstrap</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Complete, 5 resources</w:t>
            </w:r>
          </w:p>
        </w:tc>
        <w:tc>
          <w:tcPr>
            <w:tcW w:type="dxa" w:w="50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Creates the Terraform state bucket and its guardrails. Shared across environments. Where the production landing-zone path in §9 begins.</w:t>
            </w:r>
          </w:p>
        </w:tc>
      </w:tr>
      <w:tr>
        <w:trPr>
          <w:cantSplit/>
        </w:trPr>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i/>
                <w:iCs/>
                <w:color w:val="1A1A1A"/>
                <w:sz w:val="18"/>
                <w:szCs w:val="18"/>
              </w:rPr>
              <w:t xml:space="preserve">infra/prod</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Skeleton only</w:t>
            </w:r>
          </w:p>
        </w:tc>
        <w:tc>
          <w:tcPr>
            <w:tcW w:type="dxa" w:w="50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Provider and variable blocks, 42 lines, zero resource blocks. The file's own comment reads "PROD environment — DEFINED, NOT PROVISIONED". The S3 backend is commented out.</w:t>
            </w:r>
          </w:p>
        </w:tc>
      </w:tr>
      <w:tr>
        <w:trPr>
          <w:cantSplit/>
        </w:trPr>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i/>
                <w:iCs/>
                <w:color w:val="1A1A1A"/>
                <w:sz w:val="18"/>
                <w:szCs w:val="18"/>
              </w:rPr>
              <w:t xml:space="preserve">infra/staging</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Skeleton only</w:t>
            </w:r>
          </w:p>
        </w:tc>
        <w:tc>
          <w:tcPr>
            <w:tcW w:type="dxa" w:w="50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Identical skeleton, 46 lines, zero resource blocks.</w:t>
            </w:r>
          </w:p>
        </w:tc>
      </w:tr>
      <w:tr>
        <w:trPr>
          <w:cantSplit/>
        </w:trPr>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i/>
                <w:iCs/>
                <w:color w:val="1A1A1A"/>
                <w:sz w:val="18"/>
                <w:szCs w:val="18"/>
              </w:rPr>
              <w:t xml:space="preserve">infra/dev</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Complete, 133 resources</w:t>
            </w:r>
          </w:p>
        </w:tc>
        <w:tc>
          <w:tcPr>
            <w:tcW w:type="dxa" w:w="50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Despite the name, provisions the testing environment: resources are tagged Env=testing and named fabric-testing-*, with a live S3 backend. This is the only concrete application-infrastructure definition in the repository.</w:t>
            </w:r>
          </w:p>
        </w:tc>
      </w:tr>
      <w:tr>
        <w:trPr>
          <w:cantSplit/>
        </w:trPr>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i/>
                <w:iCs/>
                <w:color w:val="1A1A1A"/>
                <w:sz w:val="18"/>
                <w:szCs w:val="18"/>
              </w:rPr>
              <w:t xml:space="preserve">infra/modules</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Empty</w:t>
            </w:r>
          </w:p>
        </w:tc>
        <w:tc>
          <w:tcPr>
            <w:tcW w:type="dxa" w:w="50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Contains a README explaining why no modules exist yet.</w:t>
            </w:r>
          </w:p>
        </w:tc>
      </w:tr>
    </w:tbl>
    <w:p>
      <w:pPr>
        <w:spacing w:after="200"/>
      </w:pPr>
      <w:r>
        <w:rPr>
          <w:sz w:val="2"/>
          <w:szCs w:val="2"/>
        </w:rPr>
        <w:t xml:space="preserve"/>
      </w:r>
    </w:p>
    <w:p>
      <w:pPr>
        <w:spacing w:after="160" w:before="0" w:line="276"/>
      </w:pPr>
      <w:r>
        <w:rPr>
          <w:rFonts w:ascii="Calibri" w:cs="Calibri" w:eastAsia="Calibri" w:hAnsi="Calibri"/>
          <w:color w:val="1A1A1A"/>
          <w:sz w:val="20"/>
          <w:szCs w:val="20"/>
        </w:rPr>
        <w:t xml:space="preserve">There are no .tfvars files anywhere in the repository, so there is no production sizing to read. The production README says only that prod will be the "same module set as staging, bigger vars", with multi-AZ RDS, at least two Fargate tasks and autoscaling.</w:t>
      </w:r>
    </w:p>
    <w:p>
      <w:pPr>
        <w:spacing w:after="200" w:before="0" w:line="276"/>
      </w:pPr>
      <w:r>
        <w:rPr>
          <w:rFonts w:ascii="Calibri" w:cs="Calibri" w:eastAsia="Calibri" w:hAnsi="Calibri"/>
          <w:color w:val="1A1A1A"/>
          <w:sz w:val="20"/>
          <w:szCs w:val="20"/>
        </w:rPr>
        <w:t xml:space="preserve">This estimate therefore prices the testing definition scaled to a launch-grade production tier, with the sizing choices set out in §4 and the shortfalls against the platform's own architecture documents listed in §9.</w:t>
      </w:r>
    </w:p>
    <w:tbl>
      <w:tblPr>
        <w:tblW w:type="dxa" w:w="9360"/>
        <w:tblBorders>
          <w:top w:val="none"/>
          <w:left w:val="none"/>
          <w:bottom w:val="none"/>
          <w:right w:val="none"/>
          <w:insideH w:val="none"/>
          <w:insideV w:val="none"/>
        </w:tblBorders>
      </w:tblPr>
      <w:tblGrid>
        <w:gridCol w:w="60"/>
        <w:gridCol w:w="9300"/>
      </w:tblGrid>
      <w:tr>
        <w:trPr>
          <w:cantSplit/>
        </w:trPr>
        <w:tc>
          <w:tcPr>
            <w:tcW w:type="dxa" w:w="60"/>
            <w:tcBorders>
              <w:top w:val="none"/>
              <w:left w:val="none"/>
              <w:bottom w:val="none"/>
              <w:right w:val="none"/>
            </w:tcBorders>
            <w:shd w:fill="8A3A2E" w:color="auto" w:val="clear"/>
            <w:tcMar>
              <w:top w:type="dxa" w:w="0"/>
              <w:left w:type="dxa" w:w="0"/>
              <w:bottom w:type="dxa" w:w="0"/>
              <w:right w:type="dxa" w:w="0"/>
            </w:tcMar>
          </w:tcPr>
          <w:p>
            <w:r>
              <w:rPr>
                <w:sz w:val="2"/>
                <w:szCs w:val="2"/>
              </w:rPr>
              <w:t xml:space="preserve"/>
            </w:r>
          </w:p>
        </w:tc>
        <w:tc>
          <w:tcPr>
            <w:tcW w:type="dxa" w:w="9300"/>
            <w:tcBorders>
              <w:top w:val="none"/>
              <w:left w:val="none"/>
              <w:bottom w:val="none"/>
              <w:right w:val="none"/>
            </w:tcBorders>
            <w:shd w:fill="FBF0EE" w:color="auto" w:val="clear"/>
            <w:tcMar>
              <w:top w:type="dxa" w:w="150"/>
              <w:left w:type="dxa" w:w="200"/>
              <w:bottom w:type="dxa" w:w="150"/>
              <w:right w:type="dxa" w:w="200"/>
            </w:tcMar>
          </w:tcPr>
          <w:p>
            <w:pPr>
              <w:spacing w:after="60"/>
            </w:pPr>
            <w:r>
              <w:rPr>
                <w:rFonts w:ascii="Calibri" w:cs="Calibri" w:eastAsia="Calibri" w:hAnsi="Calibri"/>
                <w:b/>
                <w:bCs/>
                <w:caps/>
                <w:color w:val="8A3A2E"/>
                <w:spacing w:val="10"/>
                <w:sz w:val="19"/>
                <w:szCs w:val="19"/>
              </w:rPr>
              <w:t xml:space="preserve">Open decision — region</w:t>
            </w:r>
          </w:p>
          <w:p>
            <w:pPr>
              <w:spacing w:after="90" w:line="276"/>
            </w:pPr>
            <w:r>
              <w:rPr>
                <w:rFonts w:ascii="Calibri" w:cs="Calibri" w:eastAsia="Calibri" w:hAnsi="Calibri"/>
                <w:color w:val="1A1A1A"/>
                <w:sz w:val="19"/>
                <w:szCs w:val="19"/>
              </w:rPr>
              <w:t xml:space="preserve">The Terraform default for production is </w:t>
            </w:r>
            <w:r>
              <w:rPr>
                <w:rFonts w:ascii="Calibri" w:cs="Calibri" w:eastAsia="Calibri" w:hAnsi="Calibri"/>
                <w:i/>
                <w:iCs/>
                <w:color w:val="1A1A1A"/>
                <w:sz w:val="19"/>
                <w:szCs w:val="19"/>
              </w:rPr>
              <w:t xml:space="preserve">eu-west-1</w:t>
            </w:r>
            <w:r>
              <w:rPr>
                <w:rFonts w:ascii="Calibri" w:cs="Calibri" w:eastAsia="Calibri" w:hAnsi="Calibri"/>
                <w:color w:val="1A1A1A"/>
                <w:sz w:val="19"/>
                <w:szCs w:val="19"/>
              </w:rPr>
              <w:t xml:space="preserve"> (Ireland). Every architecture document specifies </w:t>
            </w:r>
            <w:r>
              <w:rPr>
                <w:rFonts w:ascii="Calibri" w:cs="Calibri" w:eastAsia="Calibri" w:hAnsi="Calibri"/>
                <w:i/>
                <w:iCs/>
                <w:color w:val="1A1A1A"/>
                <w:sz w:val="19"/>
                <w:szCs w:val="19"/>
              </w:rPr>
              <w:t xml:space="preserve">af-south-1</w:t>
            </w:r>
            <w:r>
              <w:rPr>
                <w:rFonts w:ascii="Calibri" w:cs="Calibri" w:eastAsia="Calibri" w:hAnsi="Calibri"/>
                <w:color w:val="1A1A1A"/>
                <w:sz w:val="19"/>
                <w:szCs w:val="19"/>
              </w:rPr>
              <w:t xml:space="preserve"> (Cape Town) for West African data residency, and the platform's own deployment notes put af-south-1 at 20 to 32 per cent higher on compute and around 70 per cent higher on egress. A separate note records that af-south-1 is unavailable to the account.</w:t>
            </w:r>
          </w:p>
          <w:p>
            <w:pPr>
              <w:spacing w:after="0" w:line="276"/>
            </w:pPr>
            <w:r>
              <w:rPr>
                <w:rFonts w:ascii="Calibri" w:cs="Calibri" w:eastAsia="Calibri" w:hAnsi="Calibri"/>
                <w:color w:val="1A1A1A"/>
                <w:sz w:val="19"/>
                <w:szCs w:val="19"/>
              </w:rPr>
              <w:t xml:space="preserve">This document prices </w:t>
            </w:r>
            <w:r>
              <w:rPr>
                <w:rFonts w:ascii="Calibri" w:cs="Calibri" w:eastAsia="Calibri" w:hAnsi="Calibri"/>
                <w:b/>
                <w:bCs/>
                <w:color w:val="1A1A1A"/>
                <w:sz w:val="19"/>
                <w:szCs w:val="19"/>
              </w:rPr>
              <w:t xml:space="preserve">eu-west-1</w:t>
            </w:r>
            <w:r>
              <w:rPr>
                <w:rFonts w:ascii="Calibri" w:cs="Calibri" w:eastAsia="Calibri" w:hAnsi="Calibri"/>
                <w:color w:val="1A1A1A"/>
                <w:sz w:val="19"/>
                <w:szCs w:val="19"/>
              </w:rPr>
              <w:t xml:space="preserve">, per the Terraform default and the account constraint. If data residency later forces af-south-1, expect AWS infrastructure spend to rise by roughly a quarter — approximately </w:t>
            </w:r>
            <w:r>
              <w:rPr>
                <w:rFonts w:ascii="Calibri" w:cs="Calibri" w:eastAsia="Calibri" w:hAnsi="Calibri"/>
                <w:b/>
                <w:bCs/>
                <w:color w:val="1A1A1A"/>
                <w:sz w:val="19"/>
                <w:szCs w:val="19"/>
              </w:rPr>
              <w:t xml:space="preserve">$167 per month</w:t>
            </w:r>
            <w:r>
              <w:rPr>
                <w:rFonts w:ascii="Calibri" w:cs="Calibri" w:eastAsia="Calibri" w:hAnsi="Calibri"/>
                <w:color w:val="1A1A1A"/>
                <w:sz w:val="19"/>
                <w:szCs w:val="19"/>
              </w:rPr>
              <w:t xml:space="preserve"> at launch scale. That is a compliance decision with a price attached, not a cost optimisation.</w:t>
            </w:r>
          </w:p>
        </w:tc>
      </w:tr>
    </w:tbl>
    <w:p>
      <w:pPr>
        <w:spacing w:after="200"/>
      </w:pPr>
      <w:r>
        <w:rPr>
          <w:sz w:val="2"/>
          <w:szCs w:val="2"/>
        </w:rPr>
        <w:t xml:space="preserve"/>
      </w:r>
    </w:p>
    <w:p>
      <w:pPr>
        <w:pStyle w:val="Heading2"/>
        <w:keepNext/>
        <w:spacing w:after="100" w:before="260"/>
      </w:pPr>
      <w:r>
        <w:rPr>
          <w:rFonts w:ascii="Calibri" w:cs="Calibri" w:eastAsia="Calibri" w:hAnsi="Calibri"/>
          <w:b/>
          <w:bCs/>
          <w:color w:val="1A1A1A"/>
          <w:sz w:val="23"/>
          <w:szCs w:val="23"/>
        </w:rPr>
        <w:t xml:space="preserve">2.3 Where the unit rates come from</w:t>
      </w:r>
    </w:p>
    <w:p>
      <w:pPr>
        <w:spacing w:after="160" w:before="0" w:line="276"/>
      </w:pPr>
      <w:r>
        <w:rPr>
          <w:rFonts w:ascii="Calibri" w:cs="Calibri" w:eastAsia="Calibri" w:hAnsi="Calibri"/>
          <w:color w:val="1A1A1A"/>
          <w:sz w:val="20"/>
          <w:szCs w:val="20"/>
        </w:rPr>
        <w:t xml:space="preserve">Every rate in this document is an AWS or vendor published list price, checked on 3 September 2026. Rates were read from AWS's own machine-readable price feeds wherever the Europe (Ireland) block could be retrieved. Where it could not, the source is named and the confidence downgraded. The full register is in Appendix A.</w:t>
      </w:r>
    </w:p>
    <w:tbl>
      <w:tblPr>
        <w:tblW w:type="dxa" w:w="9360"/>
        <w:tblBorders>
          <w:top w:val="none"/>
          <w:left w:val="none"/>
          <w:bottom w:val="none"/>
          <w:right w:val="none"/>
          <w:insideH w:val="none"/>
          <w:insideV w:val="none"/>
        </w:tblBorders>
      </w:tblPr>
      <w:tblGrid>
        <w:gridCol w:w="1200"/>
        <w:gridCol w:w="4260"/>
        <w:gridCol w:w="3900"/>
      </w:tblGrid>
      <w:tr>
        <w:trPr>
          <w:cantSplit/>
          <w:tblHeader/>
        </w:trPr>
        <w:tc>
          <w:tcPr>
            <w:tcW w:type="dxa" w:w="12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aps/>
                <w:color w:val="FFFFFF"/>
                <w:spacing w:val="10"/>
                <w:sz w:val="15"/>
                <w:szCs w:val="15"/>
              </w:rPr>
              <w:t xml:space="preserve">Confidence</w:t>
            </w:r>
          </w:p>
        </w:tc>
        <w:tc>
          <w:tcPr>
            <w:tcW w:type="dxa" w:w="426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Meaning</w:t>
            </w:r>
          </w:p>
        </w:tc>
        <w:tc>
          <w:tcPr>
            <w:tcW w:type="dxa" w:w="39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Applies to</w:t>
            </w:r>
          </w:p>
        </w:tc>
      </w:tr>
      <w:tr>
        <w:trPr>
          <w:cantSplit/>
        </w:trPr>
        <w:tc>
          <w:tcPr>
            <w:tcW w:type="dxa" w:w="12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bCs/>
                <w:color w:val="1A1A1A"/>
                <w:sz w:val="18"/>
                <w:szCs w:val="18"/>
              </w:rPr>
              <w:t xml:space="preserve">A</w:t>
            </w:r>
          </w:p>
        </w:tc>
        <w:tc>
          <w:tcPr>
            <w:tcW w:type="dxa" w:w="42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Read directly from the Europe (Ireland) block of an AWS price feed or pricing page.</w:t>
            </w:r>
          </w:p>
        </w:tc>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Fargate, RDS PostgreSQL, RDS gp3 storage, CloudFront requests, WAF, Secrets Manager, KMS, Cloud Map, ECR</w:t>
            </w:r>
          </w:p>
        </w:tc>
      </w:tr>
      <w:tr>
        <w:trPr>
          <w:cantSplit/>
        </w:trPr>
        <w:tc>
          <w:tcPr>
            <w:tcW w:type="dxa" w:w="1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1A1A1A"/>
                <w:sz w:val="18"/>
                <w:szCs w:val="18"/>
              </w:rPr>
              <w:t xml:space="preserve">B</w:t>
            </w:r>
          </w:p>
        </w:tc>
        <w:tc>
          <w:tcPr>
            <w:tcW w:type="dxa" w:w="4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Read from an AWS price feed and found identical in every region retrieved, so region-invariant.</w:t>
            </w:r>
          </w:p>
        </w:tc>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Elastic IPs, VPC interface endpoints, Route 53 queries, API Gateway HTTP API</w:t>
            </w:r>
          </w:p>
        </w:tc>
      </w:tr>
      <w:tr>
        <w:trPr>
          <w:cantSplit/>
        </w:trPr>
        <w:tc>
          <w:tcPr>
            <w:tcW w:type="dxa" w:w="12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bCs/>
                <w:color w:val="1A1A1A"/>
                <w:sz w:val="18"/>
                <w:szCs w:val="18"/>
              </w:rPr>
              <w:t xml:space="preserve">C</w:t>
            </w:r>
          </w:p>
        </w:tc>
        <w:tc>
          <w:tcPr>
            <w:tcW w:type="dxa" w:w="42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Third-party aggregator for eu-west-1, or another region plus the known regional uplift. Verify before contracting.</w:t>
            </w:r>
          </w:p>
        </w:tc>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ElastiCache nodes, NAT Gateway, cross-AZ transfer, CloudWatch, ALB, RDS Proxy, S3</w:t>
            </w:r>
          </w:p>
        </w:tc>
      </w:tr>
    </w:tbl>
    <w:p>
      <w:pPr>
        <w:spacing w:after="200"/>
      </w:pPr>
      <w:r>
        <w:rPr>
          <w:sz w:val="2"/>
          <w:szCs w:val="2"/>
        </w:rPr>
        <w:t xml:space="preserve"/>
      </w:r>
    </w:p>
    <w:p>
      <w:pPr>
        <w:spacing w:after="160" w:before="0" w:line="276"/>
      </w:pPr>
      <w:r>
        <w:rPr>
          <w:rFonts w:ascii="Calibri" w:cs="Calibri" w:eastAsia="Calibri" w:hAnsi="Calibri"/>
          <w:color w:val="1A1A1A"/>
          <w:sz w:val="20"/>
          <w:szCs w:val="20"/>
        </w:rPr>
        <w:t xml:space="preserve">Confidence C covers about 56 per cent of the estimated AWS spend, almost all of it in the ElastiCache, NAT Gateway and CloudWatch lines, against 42 per cent at confidence A. Both were cross-checked against a commercial pricing aggregator showing eu-west-1 explicitly, and the RDS figure obtained the same way matched the AWS feed exactly — which is reasonable evidence the aggregator is accurate for the region. Even so, a fifteen-minute run of the AWS Pricing Calculator would move these to confidence A before any budget is committed, and §11 lists that as the first action.</w:t>
      </w:r>
    </w:p>
    <w:p>
      <w:pPr>
        <w:pStyle w:val="Heading2"/>
        <w:keepNext/>
        <w:spacing w:after="100" w:before="260"/>
      </w:pPr>
      <w:r>
        <w:rPr>
          <w:rFonts w:ascii="Calibri" w:cs="Calibri" w:eastAsia="Calibri" w:hAnsi="Calibri"/>
          <w:b/>
          <w:bCs/>
          <w:color w:val="1A1A1A"/>
          <w:sz w:val="23"/>
          <w:szCs w:val="23"/>
        </w:rPr>
        <w:t xml:space="preserve">2.4 What this document does not do</w:t>
      </w:r>
    </w:p>
    <w:p>
      <w:pPr>
        <w:pStyle w:val="ListParagraph"/>
        <w:numPr>
          <w:ilvl w:val="0"/>
          <w:numId w:val="2"/>
        </w:numPr>
        <w:spacing w:after="90" w:line="276"/>
      </w:pPr>
      <w:r>
        <w:rPr>
          <w:rFonts w:ascii="Calibri" w:cs="Calibri" w:eastAsia="Calibri" w:hAnsi="Calibri"/>
          <w:color w:val="1A1A1A"/>
          <w:sz w:val="20"/>
          <w:szCs w:val="20"/>
        </w:rPr>
        <w:t xml:space="preserve">It does not price the AWS landing zone for a separate production account — Control Tower, Organizations, IAM Identity Center, Config and GuardDuty. §9 lists these as unmodelled.</w:t>
      </w:r>
    </w:p>
    <w:p>
      <w:pPr>
        <w:pStyle w:val="ListParagraph"/>
        <w:numPr>
          <w:ilvl w:val="0"/>
          <w:numId w:val="2"/>
        </w:numPr>
        <w:spacing w:after="90" w:line="276"/>
      </w:pPr>
      <w:r>
        <w:rPr>
          <w:rFonts w:ascii="Calibri" w:cs="Calibri" w:eastAsia="Calibri" w:hAnsi="Calibri"/>
          <w:color w:val="1A1A1A"/>
          <w:sz w:val="20"/>
          <w:szCs w:val="20"/>
        </w:rPr>
        <w:t xml:space="preserve">It does not include one-off engineering effort to write the production Terraform, which does not exist yet.</w:t>
      </w:r>
    </w:p>
    <w:p>
      <w:pPr>
        <w:pStyle w:val="ListParagraph"/>
        <w:numPr>
          <w:ilvl w:val="0"/>
          <w:numId w:val="2"/>
        </w:numPr>
        <w:spacing w:after="90" w:line="276"/>
      </w:pPr>
      <w:r>
        <w:rPr>
          <w:rFonts w:ascii="Calibri" w:cs="Calibri" w:eastAsia="Calibri" w:hAnsi="Calibri"/>
          <w:color w:val="1A1A1A"/>
          <w:sz w:val="20"/>
          <w:szCs w:val="20"/>
        </w:rPr>
        <w:t xml:space="preserve">It does not include payment processing fees. Paystack charges 1.95 per cent in Ghana and 1.5 per cent plus ₦100 in Nigeria on transaction value, which is a function of payment volume rather than infrastructure and is passed through to the transacting party.</w:t>
      </w:r>
    </w:p>
    <w:p>
      <w:pPr>
        <w:pStyle w:val="ListParagraph"/>
        <w:numPr>
          <w:ilvl w:val="0"/>
          <w:numId w:val="2"/>
        </w:numPr>
        <w:spacing w:after="90" w:line="276"/>
      </w:pPr>
      <w:r>
        <w:rPr>
          <w:rFonts w:ascii="Calibri" w:cs="Calibri" w:eastAsia="Calibri" w:hAnsi="Calibri"/>
          <w:color w:val="1A1A1A"/>
          <w:sz w:val="20"/>
          <w:szCs w:val="20"/>
        </w:rPr>
        <w:t xml:space="preserve">It does not include data protection, licensing, insurance, support plans or staff costs.</w:t>
      </w:r>
    </w:p>
    <w:p>
      <w:pPr>
        <w:pStyle w:val="ListParagraph"/>
        <w:numPr>
          <w:ilvl w:val="0"/>
          <w:numId w:val="2"/>
        </w:numPr>
        <w:spacing w:after="90" w:line="276"/>
      </w:pPr>
      <w:r>
        <w:rPr>
          <w:rFonts w:ascii="Calibri" w:cs="Calibri" w:eastAsia="Calibri" w:hAnsi="Calibri"/>
          <w:color w:val="1A1A1A"/>
          <w:sz w:val="20"/>
          <w:szCs w:val="20"/>
        </w:rPr>
        <w:t xml:space="preserve">It does not price an AWS Business or Enterprise support plan. Business support is charged at the greater of $100 a month or 10 per cent of monthly AWS spend, which at launch scale would be $100.</w:t>
      </w:r>
    </w:p>
    <w:p>
      <w:pPr>
        <w:spacing w:after="200"/>
      </w:pPr>
      <w:r>
        <w:rPr>
          <w:sz w:val="2"/>
          <w:szCs w:val="2"/>
        </w:rPr>
        <w:t xml:space="preserve"/>
      </w:r>
    </w:p>
    <w:p>
      <w:pPr>
        <w:pStyle w:val="Heading1"/>
        <w:keepNext/>
        <w:pBdr>
          <w:bottom w:val="single" w:color="1F4E5F" w:sz="8" w:space="6"/>
        </w:pBdr>
        <w:spacing w:after="160" w:before="360"/>
      </w:pPr>
      <w:r>
        <w:rPr>
          <w:rFonts w:ascii="Calibri" w:cs="Calibri" w:eastAsia="Calibri" w:hAnsi="Calibri"/>
          <w:b/>
          <w:bCs/>
          <w:color w:val="1F4E5F"/>
          <w:sz w:val="30"/>
          <w:szCs w:val="30"/>
        </w:rPr>
        <w:t xml:space="preserve">3. The architecture being priced</w:t>
      </w:r>
    </w:p>
    <w:p>
      <w:pPr>
        <w:spacing w:after="200" w:before="0" w:line="276"/>
      </w:pPr>
      <w:r>
        <w:rPr>
          <w:rFonts w:ascii="Calibri" w:cs="Calibri" w:eastAsia="Calibri" w:hAnsi="Calibri"/>
          <w:color w:val="1A1A1A"/>
          <w:sz w:val="20"/>
          <w:szCs w:val="20"/>
        </w:rPr>
        <w:t xml:space="preserve">Fabric is a modular monolith: one NestJS API, two Next.js front ends — the customer dashboard and the staff admin console — and a queue worker, all on ECS Fargate behind CloudFront and API Gateway, with PostgreSQL and Redis as the stateful tier. The marketing site is a separate Astro project on Vercel and is not priced here. Tenancy is enforced by PostgreSQL row-level security rather than by separate infrastructure per tenant, which is the single most important cost property of the design — a new tenant adds rows, not resources.</w:t>
      </w:r>
    </w:p>
    <w:p>
      <w:pPr>
        <w:pStyle w:val="Heading2"/>
        <w:keepNext/>
        <w:spacing w:after="100" w:before="260"/>
      </w:pPr>
      <w:r>
        <w:rPr>
          <w:rFonts w:ascii="Calibri" w:cs="Calibri" w:eastAsia="Calibri" w:hAnsi="Calibri"/>
          <w:b/>
          <w:bCs/>
          <w:color w:val="1A1A1A"/>
          <w:sz w:val="23"/>
          <w:szCs w:val="23"/>
        </w:rPr>
        <w:t xml:space="preserve">3.1 Resource inventory</w:t>
      </w:r>
    </w:p>
    <w:p>
      <w:pPr>
        <w:spacing w:after="140" w:before="0" w:line="276"/>
      </w:pPr>
      <w:r>
        <w:rPr>
          <w:rFonts w:ascii="Calibri" w:cs="Calibri" w:eastAsia="Calibri" w:hAnsi="Calibri"/>
          <w:color w:val="1A1A1A"/>
          <w:sz w:val="20"/>
          <w:szCs w:val="20"/>
        </w:rPr>
        <w:t xml:space="preserve">The right-hand column states whether each row exists in the testing Terraform today or is an addition this estimate makes for production. Three rows are wholly new — the queue worker service, RDS Proxy and the customer-managed keys — and two are upsizings of resources that already exist. Every one of the five is required by the platform's own architecture documents rather than invented here.</w:t>
      </w:r>
    </w:p>
    <w:tbl>
      <w:tblPr>
        <w:tblW w:type="dxa" w:w="9360"/>
        <w:tblBorders>
          <w:top w:val="none"/>
          <w:left w:val="none"/>
          <w:bottom w:val="none"/>
          <w:right w:val="none"/>
          <w:insideH w:val="none"/>
          <w:insideV w:val="none"/>
        </w:tblBorders>
      </w:tblPr>
      <w:tblGrid>
        <w:gridCol w:w="1850"/>
        <w:gridCol w:w="3760"/>
        <w:gridCol w:w="1250"/>
        <w:gridCol w:w="2500"/>
      </w:tblGrid>
      <w:tr>
        <w:trPr>
          <w:cantSplit/>
          <w:tblHeader/>
        </w:trPr>
        <w:tc>
          <w:tcPr>
            <w:tcW w:type="dxa" w:w="185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Component</w:t>
            </w:r>
          </w:p>
        </w:tc>
        <w:tc>
          <w:tcPr>
            <w:tcW w:type="dxa" w:w="376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Launch-tier configuration</w:t>
            </w:r>
          </w:p>
        </w:tc>
        <w:tc>
          <w:tcPr>
            <w:tcW w:type="dxa" w:w="125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aps/>
                <w:color w:val="FFFFFF"/>
                <w:spacing w:val="10"/>
                <w:sz w:val="15"/>
                <w:szCs w:val="15"/>
              </w:rPr>
              <w:t xml:space="preserve">Fixed / variable</w:t>
            </w:r>
          </w:p>
        </w:tc>
        <w:tc>
          <w:tcPr>
            <w:tcW w:type="dxa" w:w="25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In the code today</w:t>
            </w:r>
          </w:p>
        </w:tc>
      </w:tr>
      <w:tr>
        <w:trPr>
          <w:cantSplit/>
        </w:trPr>
        <w:tc>
          <w:tcPr>
            <w:tcW w:type="dxa" w:w="185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ECS cluster</w:t>
            </w:r>
          </w:p>
        </w:tc>
        <w:tc>
          <w:tcPr>
            <w:tcW w:type="dxa" w:w="3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One cluster, Container Insights enabled at the standard level</w:t>
            </w:r>
          </w:p>
        </w:tc>
        <w:tc>
          <w:tcPr>
            <w:tcW w:type="dxa" w:w="125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Fixed</w:t>
            </w:r>
          </w:p>
        </w:tc>
        <w:tc>
          <w:tcPr>
            <w:tcW w:type="dxa" w:w="2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Yes</w:t>
            </w:r>
          </w:p>
        </w:tc>
      </w:tr>
      <w:tr>
        <w:trPr>
          <w:cantSplit/>
        </w:trPr>
        <w:tc>
          <w:tcPr>
            <w:tcW w:type="dxa" w:w="185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Fargate services</w:t>
            </w:r>
          </w:p>
        </w:tc>
        <w:tc>
          <w:tcPr>
            <w:tcW w:type="dxa" w:w="3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api (2 tasks, 1 vCPU / 2 GB), dashboard and admin-console (1 task each, 0.5 vCPU / 1 GB)</w:t>
            </w:r>
          </w:p>
        </w:tc>
        <w:tc>
          <w:tcPr>
            <w:tcW w:type="dxa" w:w="125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Variable</w:t>
            </w:r>
          </w:p>
        </w:tc>
        <w:tc>
          <w:tcPr>
            <w:tcW w:type="dxa" w:w="2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Yes, at 0.5 vCPU / 1 GB</w:t>
            </w:r>
          </w:p>
        </w:tc>
      </w:tr>
      <w:tr>
        <w:trPr>
          <w:cantSplit/>
        </w:trPr>
        <w:tc>
          <w:tcPr>
            <w:tcW w:type="dxa" w:w="185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Queue worker service</w:t>
            </w:r>
          </w:p>
        </w:tc>
        <w:tc>
          <w:tcPr>
            <w:tcW w:type="dxa" w:w="3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worker (1 task, 0.5 vCPU / 1 GB)</w:t>
            </w:r>
          </w:p>
        </w:tc>
        <w:tc>
          <w:tcPr>
            <w:tcW w:type="dxa" w:w="125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Variable</w:t>
            </w:r>
          </w:p>
        </w:tc>
        <w:tc>
          <w:tcPr>
            <w:tcW w:type="dxa" w:w="2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No — queues run in-process in the API today</w:t>
            </w:r>
          </w:p>
        </w:tc>
      </w:tr>
      <w:tr>
        <w:trPr>
          <w:cantSplit/>
        </w:trPr>
        <w:tc>
          <w:tcPr>
            <w:tcW w:type="dxa" w:w="185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Autoscaling</w:t>
            </w:r>
          </w:p>
        </w:tc>
        <w:tc>
          <w:tcPr>
            <w:tcW w:type="dxa" w:w="3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Target tracking on CPU and memory; api 1–3 tasks, front ends 1–2</w:t>
            </w:r>
          </w:p>
        </w:tc>
        <w:tc>
          <w:tcPr>
            <w:tcW w:type="dxa" w:w="125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Variable</w:t>
            </w:r>
          </w:p>
        </w:tc>
        <w:tc>
          <w:tcPr>
            <w:tcW w:type="dxa" w:w="2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Yes</w:t>
            </w:r>
          </w:p>
        </w:tc>
      </w:tr>
      <w:tr>
        <w:trPr>
          <w:cantSplit/>
        </w:trPr>
        <w:tc>
          <w:tcPr>
            <w:tcW w:type="dxa" w:w="185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Ingress</w:t>
            </w:r>
          </w:p>
        </w:tc>
        <w:tc>
          <w:tcPr>
            <w:tcW w:type="dxa" w:w="3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3 API Gateway HTTP APIs, one shared VPC Link across 3 subnets, Cloud Map service discovery</w:t>
            </w:r>
          </w:p>
        </w:tc>
        <w:tc>
          <w:tcPr>
            <w:tcW w:type="dxa" w:w="125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Variable</w:t>
            </w:r>
          </w:p>
        </w:tc>
        <w:tc>
          <w:tcPr>
            <w:tcW w:type="dxa" w:w="2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Yes</w:t>
            </w:r>
          </w:p>
        </w:tc>
      </w:tr>
      <w:tr>
        <w:trPr>
          <w:cantSplit/>
        </w:trPr>
        <w:tc>
          <w:tcPr>
            <w:tcW w:type="dxa" w:w="185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Edge</w:t>
            </w:r>
          </w:p>
        </w:tc>
        <w:tc>
          <w:tcPr>
            <w:tcW w:type="dxa" w:w="3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3 CloudFront distributions, 1 WAF web ACL with 4 rules</w:t>
            </w:r>
          </w:p>
        </w:tc>
        <w:tc>
          <w:tcPr>
            <w:tcW w:type="dxa" w:w="125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Variable</w:t>
            </w:r>
          </w:p>
        </w:tc>
        <w:tc>
          <w:tcPr>
            <w:tcW w:type="dxa" w:w="2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Yes</w:t>
            </w:r>
          </w:p>
        </w:tc>
      </w:tr>
      <w:tr>
        <w:trPr>
          <w:cantSplit/>
        </w:trPr>
        <w:tc>
          <w:tcPr>
            <w:tcW w:type="dxa" w:w="185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Database</w:t>
            </w:r>
          </w:p>
        </w:tc>
        <w:tc>
          <w:tcPr>
            <w:tcW w:type="dxa" w:w="3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RDS PostgreSQL 16, db.t4g.medium, Multi-AZ, 100 GB gp3</w:t>
            </w:r>
          </w:p>
        </w:tc>
        <w:tc>
          <w:tcPr>
            <w:tcW w:type="dxa" w:w="125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Fixed</w:t>
            </w:r>
          </w:p>
        </w:tc>
        <w:tc>
          <w:tcPr>
            <w:tcW w:type="dxa" w:w="2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Yes, at db.t4g.micro and 20 GB</w:t>
            </w:r>
          </w:p>
        </w:tc>
      </w:tr>
      <w:tr>
        <w:trPr>
          <w:cantSplit/>
        </w:trPr>
        <w:tc>
          <w:tcPr>
            <w:tcW w:type="dxa" w:w="185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RDS Proxy</w:t>
            </w:r>
          </w:p>
        </w:tc>
        <w:tc>
          <w:tcPr>
            <w:tcW w:type="dxa" w:w="3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Connection pooling in front of the database</w:t>
            </w:r>
          </w:p>
        </w:tc>
        <w:tc>
          <w:tcPr>
            <w:tcW w:type="dxa" w:w="125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Fixed</w:t>
            </w:r>
          </w:p>
        </w:tc>
        <w:tc>
          <w:tcPr>
            <w:tcW w:type="dxa" w:w="2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No — the docs require it before autoscaling</w:t>
            </w:r>
          </w:p>
        </w:tc>
      </w:tr>
      <w:tr>
        <w:trPr>
          <w:cantSplit/>
        </w:trPr>
        <w:tc>
          <w:tcPr>
            <w:tcW w:type="dxa" w:w="185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Cache and queue</w:t>
            </w:r>
          </w:p>
        </w:tc>
        <w:tc>
          <w:tcPr>
            <w:tcW w:type="dxa" w:w="3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2 ElastiCache Redis replication groups, 2 nodes each, cache.t4g.medium, Multi-AZ</w:t>
            </w:r>
          </w:p>
        </w:tc>
        <w:tc>
          <w:tcPr>
            <w:tcW w:type="dxa" w:w="125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Fixed</w:t>
            </w:r>
          </w:p>
        </w:tc>
        <w:tc>
          <w:tcPr>
            <w:tcW w:type="dxa" w:w="2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Yes, at cache.t4g.small</w:t>
            </w:r>
          </w:p>
        </w:tc>
      </w:tr>
      <w:tr>
        <w:trPr>
          <w:cantSplit/>
        </w:trPr>
        <w:tc>
          <w:tcPr>
            <w:tcW w:type="dxa" w:w="185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Network</w:t>
            </w:r>
          </w:p>
        </w:tc>
        <w:tc>
          <w:tcPr>
            <w:tcW w:type="dxa" w:w="3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1 VPC across 3 availability zones, 3 NAT Gateways, 3 Elastic IPs, no VPC endpoints</w:t>
            </w:r>
          </w:p>
        </w:tc>
        <w:tc>
          <w:tcPr>
            <w:tcW w:type="dxa" w:w="125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Fixed</w:t>
            </w:r>
          </w:p>
        </w:tc>
        <w:tc>
          <w:tcPr>
            <w:tcW w:type="dxa" w:w="2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Yes</w:t>
            </w:r>
          </w:p>
        </w:tc>
      </w:tr>
      <w:tr>
        <w:trPr>
          <w:cantSplit/>
        </w:trPr>
        <w:tc>
          <w:tcPr>
            <w:tcW w:type="dxa" w:w="185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Secrets</w:t>
            </w:r>
          </w:p>
        </w:tc>
        <w:tc>
          <w:tcPr>
            <w:tcW w:type="dxa" w:w="3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19 Secrets Manager secrets</w:t>
            </w:r>
          </w:p>
        </w:tc>
        <w:tc>
          <w:tcPr>
            <w:tcW w:type="dxa" w:w="125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Fixed</w:t>
            </w:r>
          </w:p>
        </w:tc>
        <w:tc>
          <w:tcPr>
            <w:tcW w:type="dxa" w:w="2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Yes</w:t>
            </w:r>
          </w:p>
        </w:tc>
      </w:tr>
      <w:tr>
        <w:trPr>
          <w:cantSplit/>
        </w:trPr>
        <w:tc>
          <w:tcPr>
            <w:tcW w:type="dxa" w:w="185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Encryption keys</w:t>
            </w:r>
          </w:p>
        </w:tc>
        <w:tc>
          <w:tcPr>
            <w:tcW w:type="dxa" w:w="3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2 KMS customer-managed keys</w:t>
            </w:r>
          </w:p>
        </w:tc>
        <w:tc>
          <w:tcPr>
            <w:tcW w:type="dxa" w:w="125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Fixed</w:t>
            </w:r>
          </w:p>
        </w:tc>
        <w:tc>
          <w:tcPr>
            <w:tcW w:type="dxa" w:w="2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No — AWS-managed keys today, which are free</w:t>
            </w:r>
          </w:p>
        </w:tc>
      </w:tr>
      <w:tr>
        <w:trPr>
          <w:cantSplit/>
        </w:trPr>
        <w:tc>
          <w:tcPr>
            <w:tcW w:type="dxa" w:w="185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Registry and storage</w:t>
            </w:r>
          </w:p>
        </w:tc>
        <w:tc>
          <w:tcPr>
            <w:tcW w:type="dxa" w:w="3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3 ECR repositories capped at 20 images each, S3 for state and exports</w:t>
            </w:r>
          </w:p>
        </w:tc>
        <w:tc>
          <w:tcPr>
            <w:tcW w:type="dxa" w:w="125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Fixed</w:t>
            </w:r>
          </w:p>
        </w:tc>
        <w:tc>
          <w:tcPr>
            <w:tcW w:type="dxa" w:w="2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Yes</w:t>
            </w:r>
          </w:p>
        </w:tc>
      </w:tr>
      <w:tr>
        <w:trPr>
          <w:cantSplit/>
        </w:trPr>
        <w:tc>
          <w:tcPr>
            <w:tcW w:type="dxa" w:w="185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Observability</w:t>
            </w:r>
          </w:p>
        </w:tc>
        <w:tc>
          <w:tcPr>
            <w:tcW w:type="dxa" w:w="3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6 CloudWatch log groups at 90-day retention, 16 alarms, 4 custom metrics</w:t>
            </w:r>
          </w:p>
        </w:tc>
        <w:tc>
          <w:tcPr>
            <w:tcW w:type="dxa" w:w="125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Variable</w:t>
            </w:r>
          </w:p>
        </w:tc>
        <w:tc>
          <w:tcPr>
            <w:tcW w:type="dxa" w:w="2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Yes</w:t>
            </w:r>
          </w:p>
        </w:tc>
      </w:tr>
    </w:tbl>
    <w:p>
      <w:pPr>
        <w:spacing w:after="240"/>
      </w:pPr>
      <w:r>
        <w:rPr>
          <w:sz w:val="2"/>
          <w:szCs w:val="2"/>
        </w:rPr>
        <w:t xml:space="preserve"/>
      </w:r>
    </w:p>
    <w:p>
      <w:pPr>
        <w:pStyle w:val="Heading2"/>
        <w:keepNext/>
        <w:spacing w:after="100" w:before="260"/>
      </w:pPr>
      <w:r>
        <w:rPr>
          <w:rFonts w:ascii="Calibri" w:cs="Calibri" w:eastAsia="Calibri" w:hAnsi="Calibri"/>
          <w:b/>
          <w:bCs/>
          <w:color w:val="1A1A1A"/>
          <w:sz w:val="23"/>
          <w:szCs w:val="23"/>
        </w:rPr>
        <w:t xml:space="preserve">3.2 Two cost leaks already present in the Terraform</w:t>
      </w:r>
    </w:p>
    <w:p>
      <w:pPr>
        <w:spacing w:after="160" w:before="0" w:line="276"/>
      </w:pPr>
      <w:r>
        <w:rPr>
          <w:rFonts w:ascii="Calibri" w:cs="Calibri" w:eastAsia="Calibri" w:hAnsi="Calibri"/>
          <w:color w:val="1A1A1A"/>
          <w:sz w:val="20"/>
          <w:szCs w:val="20"/>
        </w:rPr>
        <w:t xml:space="preserve">Both of the following are properties of the infrastructure as currently written, not of the sizing choices made in this estimate. They are called out here because a reader comparing this document to the code should know they were found rather than missed.</w:t>
      </w:r>
    </w:p>
    <w:p>
      <w:pPr>
        <w:pStyle w:val="Heading3"/>
        <w:keepNext/>
        <w:spacing w:after="80" w:before="200"/>
      </w:pPr>
      <w:r>
        <w:rPr>
          <w:rFonts w:ascii="Calibri" w:cs="Calibri" w:eastAsia="Calibri" w:hAnsi="Calibri"/>
          <w:b/>
          <w:bCs/>
          <w:caps/>
          <w:color w:val="5B6470"/>
          <w:spacing w:val="12"/>
          <w:sz w:val="20"/>
          <w:szCs w:val="20"/>
        </w:rPr>
        <w:t xml:space="preserve">No VPC endpoints</w:t>
      </w:r>
    </w:p>
    <w:p>
      <w:pPr>
        <w:spacing w:after="160" w:before="0" w:line="276"/>
      </w:pPr>
      <w:r>
        <w:rPr>
          <w:rFonts w:ascii="Calibri" w:cs="Calibri" w:eastAsia="Calibri" w:hAnsi="Calibri"/>
          <w:color w:val="1A1A1A"/>
          <w:sz w:val="20"/>
          <w:szCs w:val="20"/>
        </w:rPr>
        <w:t xml:space="preserve">The VPC has no interface or gateway endpoints. Every container image pull, every one of the 19 secret fetches at task start, all CloudWatch log shipping and every outbound call to Arkesel, Paystack and WorkOS leaves through the NAT Gateways and is billed as NAT data processing. At launch volumes this is only about $3 a month, so it is not urgent — but the fix is genuinely free. The S3 gateway endpoint costs nothing and carries the bulk of container image layer traffic. Interface endpoints, by contrast, cost $0.011 per hour per availability zone: five of them across three zones would cost $120 a month to save $3, so they should be deferred until traffic justifies them.</w:t>
      </w:r>
    </w:p>
    <w:p>
      <w:pPr>
        <w:pStyle w:val="Heading3"/>
        <w:keepNext/>
        <w:spacing w:after="80" w:before="200"/>
      </w:pPr>
      <w:r>
        <w:rPr>
          <w:rFonts w:ascii="Calibri" w:cs="Calibri" w:eastAsia="Calibri" w:hAnsi="Calibri"/>
          <w:b/>
          <w:bCs/>
          <w:caps/>
          <w:color w:val="5B6470"/>
          <w:spacing w:val="12"/>
          <w:sz w:val="20"/>
          <w:szCs w:val="20"/>
        </w:rPr>
        <w:t xml:space="preserve">CloudFront caching is disabled</w:t>
      </w:r>
    </w:p>
    <w:p>
      <w:pPr>
        <w:spacing w:after="160" w:before="0" w:line="276"/>
      </w:pPr>
      <w:r>
        <w:rPr>
          <w:rFonts w:ascii="Calibri" w:cs="Calibri" w:eastAsia="Calibri" w:hAnsi="Calibri"/>
          <w:color w:val="1A1A1A"/>
          <w:sz w:val="20"/>
          <w:szCs w:val="20"/>
        </w:rPr>
        <w:t xml:space="preserve">All three distributions use the managed CachingDisabled policy and run at price class All, meaning every viewer request becomes an origin fetch. Fabric therefore pays CloudFront requests plus the full API Gateway request charge for content that could be served from the edge. The free tier hides this at launch scale, but it sets the wrong scaling slope: dashboard static assets are the obvious candidate for a cache policy, and §7 quantifies the saving.</w:t>
      </w:r>
    </w:p>
    <w:p>
      <w:pPr>
        <w:spacing w:after="200"/>
      </w:pPr>
      <w:r>
        <w:rPr>
          <w:sz w:val="2"/>
          <w:szCs w:val="2"/>
        </w:rPr>
        <w:t xml:space="preserve"/>
      </w:r>
    </w:p>
    <w:p>
      <w:pPr>
        <w:pStyle w:val="Heading1"/>
        <w:keepNext/>
        <w:pBdr>
          <w:bottom w:val="single" w:color="1F4E5F" w:sz="8" w:space="6"/>
        </w:pBdr>
        <w:spacing w:after="160" w:before="360"/>
      </w:pPr>
      <w:r>
        <w:rPr>
          <w:rFonts w:ascii="Calibri" w:cs="Calibri" w:eastAsia="Calibri" w:hAnsi="Calibri"/>
          <w:b/>
          <w:bCs/>
          <w:color w:val="1F4E5F"/>
          <w:sz w:val="30"/>
          <w:szCs w:val="30"/>
        </w:rPr>
        <w:t xml:space="preserve">4. Workload assumptions</w:t>
      </w:r>
    </w:p>
    <w:p>
      <w:pPr>
        <w:spacing w:after="200" w:before="0" w:line="276"/>
      </w:pPr>
      <w:r>
        <w:rPr>
          <w:rFonts w:ascii="Calibri" w:cs="Calibri" w:eastAsia="Calibri" w:hAnsi="Calibri"/>
          <w:color w:val="1A1A1A"/>
          <w:sz w:val="20"/>
          <w:szCs w:val="20"/>
        </w:rPr>
        <w:t xml:space="preserve">Three scenarios are priced. They differ only in workload and in the sizing that workload demands; the architecture is identical in all three.</w:t>
      </w:r>
    </w:p>
    <w:tbl>
      <w:tblPr>
        <w:tblW w:type="dxa" w:w="9360"/>
        <w:tblBorders>
          <w:top w:val="none"/>
          <w:left w:val="none"/>
          <w:bottom w:val="none"/>
          <w:right w:val="none"/>
          <w:insideH w:val="none"/>
          <w:insideV w:val="none"/>
        </w:tblBorders>
      </w:tblPr>
      <w:tblGrid>
        <w:gridCol w:w="3060"/>
        <w:gridCol w:w="2100"/>
        <w:gridCol w:w="2100"/>
        <w:gridCol w:w="2100"/>
      </w:tblGrid>
      <w:tr>
        <w:trPr>
          <w:cantSplit/>
          <w:tblHeader/>
        </w:trPr>
        <w:tc>
          <w:tcPr>
            <w:tcW w:type="dxa" w:w="306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Assumption</w:t>
            </w:r>
          </w:p>
        </w:tc>
        <w:tc>
          <w:tcPr>
            <w:tcW w:type="dxa" w:w="21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aps/>
                <w:color w:val="FFFFFF"/>
                <w:spacing w:val="10"/>
                <w:sz w:val="15"/>
                <w:szCs w:val="15"/>
              </w:rPr>
              <w:t xml:space="preserve">A · Soft launch</w:t>
            </w:r>
          </w:p>
        </w:tc>
        <w:tc>
          <w:tcPr>
            <w:tcW w:type="dxa" w:w="21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aps/>
                <w:color w:val="FFFFFF"/>
                <w:spacing w:val="10"/>
                <w:sz w:val="15"/>
                <w:szCs w:val="15"/>
              </w:rPr>
              <w:t xml:space="preserve">B · Modest launch</w:t>
            </w:r>
          </w:p>
        </w:tc>
        <w:tc>
          <w:tcPr>
            <w:tcW w:type="dxa" w:w="21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aps/>
                <w:color w:val="FFFFFF"/>
                <w:spacing w:val="10"/>
                <w:sz w:val="15"/>
                <w:szCs w:val="15"/>
              </w:rPr>
              <w:t xml:space="preserve">C · 12-month growth</w:t>
            </w:r>
          </w:p>
        </w:tc>
      </w:tr>
      <w:tr>
        <w:trPr>
          <w:cantSplit/>
        </w:trPr>
        <w:tc>
          <w:tcPr>
            <w:tcW w:type="dxa" w:w="30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Active tenants</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10</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25</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75</w:t>
            </w:r>
          </w:p>
        </w:tc>
      </w:tr>
      <w:tr>
        <w:trPr>
          <w:cantSplit/>
        </w:trPr>
        <w:tc>
          <w:tcPr>
            <w:tcW w:type="dxa" w:w="30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SMS per month</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50,000</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300,000</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1,500,000</w:t>
            </w:r>
          </w:p>
        </w:tc>
      </w:tr>
      <w:tr>
        <w:trPr>
          <w:cantSplit/>
        </w:trPr>
        <w:tc>
          <w:tcPr>
            <w:tcW w:type="dxa" w:w="30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Edge requests per month</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800,000</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3,500,000</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15,000,000</w:t>
            </w:r>
          </w:p>
        </w:tc>
      </w:tr>
      <w:tr>
        <w:trPr>
          <w:cantSplit/>
        </w:trPr>
        <w:tc>
          <w:tcPr>
            <w:tcW w:type="dxa" w:w="30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Egress to viewers</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40 GB</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150 GB</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700 GB</w:t>
            </w:r>
          </w:p>
        </w:tc>
      </w:tr>
      <w:tr>
        <w:trPr>
          <w:cantSplit/>
        </w:trPr>
        <w:tc>
          <w:tcPr>
            <w:tcW w:type="dxa" w:w="30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Standing Fargate tasks</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4</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5</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9</w:t>
            </w:r>
          </w:p>
        </w:tc>
      </w:tr>
      <w:tr>
        <w:trPr>
          <w:cantSplit/>
        </w:trPr>
        <w:tc>
          <w:tcPr>
            <w:tcW w:type="dxa" w:w="30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Database instance</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db.t4g.small</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db.t4g.medium</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db.t4g.large</w:t>
            </w:r>
          </w:p>
        </w:tc>
      </w:tr>
      <w:tr>
        <w:trPr>
          <w:cantSplit/>
        </w:trPr>
        <w:tc>
          <w:tcPr>
            <w:tcW w:type="dxa" w:w="30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Database storage</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50 GB</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100 GB</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250 GB</w:t>
            </w:r>
          </w:p>
        </w:tc>
      </w:tr>
      <w:tr>
        <w:trPr>
          <w:cantSplit/>
        </w:trPr>
        <w:tc>
          <w:tcPr>
            <w:tcW w:type="dxa" w:w="30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RDS Proxy</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No</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Yes</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Yes</w:t>
            </w:r>
          </w:p>
        </w:tc>
      </w:tr>
      <w:tr>
        <w:trPr>
          <w:cantSplit/>
        </w:trPr>
        <w:tc>
          <w:tcPr>
            <w:tcW w:type="dxa" w:w="30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Redis nodes</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2 × t4g.small</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4 × t4g.medium</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4 × t4g.medium</w:t>
            </w:r>
          </w:p>
        </w:tc>
      </w:tr>
      <w:tr>
        <w:trPr>
          <w:cantSplit/>
        </w:trPr>
        <w:tc>
          <w:tcPr>
            <w:tcW w:type="dxa" w:w="30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NAT Gateways</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2</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3</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3</w:t>
            </w:r>
          </w:p>
        </w:tc>
      </w:tr>
      <w:tr>
        <w:trPr>
          <w:cantSplit/>
        </w:trPr>
        <w:tc>
          <w:tcPr>
            <w:tcW w:type="dxa" w:w="30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Log ingestion per month</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8 GB</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25 GB</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90 GB</w:t>
            </w:r>
          </w:p>
        </w:tc>
      </w:tr>
    </w:tbl>
    <w:p>
      <w:pPr>
        <w:spacing w:after="240"/>
      </w:pPr>
      <w:r>
        <w:rPr>
          <w:sz w:val="2"/>
          <w:szCs w:val="2"/>
        </w:rPr>
        <w:t xml:space="preserve"/>
      </w:r>
    </w:p>
    <w:p>
      <w:pPr>
        <w:pStyle w:val="Heading2"/>
        <w:keepNext/>
        <w:spacing w:after="100" w:before="260"/>
      </w:pPr>
      <w:r>
        <w:rPr>
          <w:rFonts w:ascii="Calibri" w:cs="Calibri" w:eastAsia="Calibri" w:hAnsi="Calibri"/>
          <w:b/>
          <w:bCs/>
          <w:color w:val="1A1A1A"/>
          <w:sz w:val="23"/>
          <w:szCs w:val="23"/>
        </w:rPr>
        <w:t xml:space="preserve">4.1 Derived assumptions</w:t>
      </w:r>
    </w:p>
    <w:p>
      <w:pPr>
        <w:spacing w:after="140" w:before="0" w:line="276"/>
      </w:pPr>
      <w:r>
        <w:rPr>
          <w:rFonts w:ascii="Calibri" w:cs="Calibri" w:eastAsia="Calibri" w:hAnsi="Calibri"/>
          <w:color w:val="1A1A1A"/>
          <w:sz w:val="20"/>
          <w:szCs w:val="20"/>
        </w:rPr>
        <w:t xml:space="preserve">The following secondary assumptions turn the workload above into billable quantities. They are the ones most worth challenging.</w:t>
      </w:r>
    </w:p>
    <w:p>
      <w:pPr>
        <w:pStyle w:val="ListParagraph"/>
        <w:numPr>
          <w:ilvl w:val="0"/>
          <w:numId w:val="2"/>
        </w:numPr>
        <w:spacing w:after="90" w:line="276"/>
      </w:pPr>
      <w:r>
        <w:rPr>
          <w:rFonts w:ascii="Calibri" w:cs="Calibri" w:eastAsia="Calibri" w:hAnsi="Calibri"/>
          <w:b/>
          <w:bCs/>
          <w:color w:val="1A1A1A"/>
          <w:sz w:val="20"/>
          <w:szCs w:val="20"/>
        </w:rPr>
        <w:t xml:space="preserve">Payload size. </w:t>
      </w:r>
      <w:r>
        <w:rPr>
          <w:rFonts w:ascii="Calibri" w:cs="Calibri" w:eastAsia="Calibri" w:hAnsi="Calibri"/>
          <w:color w:val="1A1A1A"/>
          <w:sz w:val="20"/>
          <w:szCs w:val="20"/>
        </w:rPr>
        <w:t xml:space="preserve">20 KB of database round-trip traffic and 2 KB of Redis traffic per edge request. Understating this inflates nothing material — cross-AZ transfer is about a dollar a month at launch scale.</w:t>
      </w:r>
    </w:p>
    <w:p>
      <w:pPr>
        <w:pStyle w:val="ListParagraph"/>
        <w:numPr>
          <w:ilvl w:val="0"/>
          <w:numId w:val="2"/>
        </w:numPr>
        <w:spacing w:after="90" w:line="276"/>
      </w:pPr>
      <w:r>
        <w:rPr>
          <w:rFonts w:ascii="Calibri" w:cs="Calibri" w:eastAsia="Calibri" w:hAnsi="Calibri"/>
          <w:b/>
          <w:bCs/>
          <w:color w:val="1A1A1A"/>
          <w:sz w:val="20"/>
          <w:szCs w:val="20"/>
        </w:rPr>
        <w:t xml:space="preserve">Deployment frequency. </w:t>
      </w:r>
      <w:r>
        <w:rPr>
          <w:rFonts w:ascii="Calibri" w:cs="Calibri" w:eastAsia="Calibri" w:hAnsi="Calibri"/>
          <w:color w:val="1A1A1A"/>
          <w:sz w:val="20"/>
          <w:szCs w:val="20"/>
        </w:rPr>
        <w:t xml:space="preserve">20 deployments a month, each running four services at up to 200 per cent desired count for eight minutes plus one four-minute migration task. This is under a dollar a month.</w:t>
      </w:r>
    </w:p>
    <w:p>
      <w:pPr>
        <w:pStyle w:val="ListParagraph"/>
        <w:numPr>
          <w:ilvl w:val="0"/>
          <w:numId w:val="2"/>
        </w:numPr>
        <w:spacing w:after="90" w:line="276"/>
      </w:pPr>
      <w:r>
        <w:rPr>
          <w:rFonts w:ascii="Calibri" w:cs="Calibri" w:eastAsia="Calibri" w:hAnsi="Calibri"/>
          <w:b/>
          <w:bCs/>
          <w:color w:val="1A1A1A"/>
          <w:sz w:val="20"/>
          <w:szCs w:val="20"/>
        </w:rPr>
        <w:t xml:space="preserve">Log volume. </w:t>
      </w:r>
      <w:r>
        <w:rPr>
          <w:rFonts w:ascii="Calibri" w:cs="Calibri" w:eastAsia="Calibri" w:hAnsi="Calibri"/>
          <w:color w:val="1A1A1A"/>
          <w:sz w:val="20"/>
          <w:szCs w:val="20"/>
        </w:rPr>
        <w:t xml:space="preserve">25 GB a month at launch, being API Gateway access logs at roughly 1.5 KB per request plus application logs. This is the most uncertain assumption in the model: structured JSON logging at debug level could double it, and every extra 10 GB costs $6 a month in ingestion.</w:t>
      </w:r>
    </w:p>
    <w:p>
      <w:pPr>
        <w:pStyle w:val="ListParagraph"/>
        <w:numPr>
          <w:ilvl w:val="0"/>
          <w:numId w:val="2"/>
        </w:numPr>
        <w:spacing w:after="90" w:line="276"/>
      </w:pPr>
      <w:r>
        <w:rPr>
          <w:rFonts w:ascii="Calibri" w:cs="Calibri" w:eastAsia="Calibri" w:hAnsi="Calibri"/>
          <w:b/>
          <w:bCs/>
          <w:color w:val="1A1A1A"/>
          <w:sz w:val="20"/>
          <w:szCs w:val="20"/>
        </w:rPr>
        <w:t xml:space="preserve">Container Insights. </w:t>
      </w:r>
      <w:r>
        <w:rPr>
          <w:rFonts w:ascii="Calibri" w:cs="Calibri" w:eastAsia="Calibri" w:hAnsi="Calibri"/>
          <w:color w:val="1A1A1A"/>
          <w:sz w:val="20"/>
          <w:szCs w:val="20"/>
        </w:rPr>
        <w:t xml:space="preserve">55 cluster- and service-level metrics at the standard custom-metric rate of $0.30 each. The cluster sets containerInsights to "enabled", which is the standard collector — not "enhanced", which would add per-task metrics at a lower unit rate but a much higher count. Worth checking against a real month, because this is the line most sensitive to a configuration change nobody costed.</w:t>
      </w:r>
    </w:p>
    <w:p>
      <w:pPr>
        <w:pStyle w:val="ListParagraph"/>
        <w:numPr>
          <w:ilvl w:val="0"/>
          <w:numId w:val="2"/>
        </w:numPr>
        <w:spacing w:after="90" w:line="276"/>
      </w:pPr>
      <w:r>
        <w:rPr>
          <w:rFonts w:ascii="Calibri" w:cs="Calibri" w:eastAsia="Calibri" w:hAnsi="Calibri"/>
          <w:b/>
          <w:bCs/>
          <w:color w:val="1A1A1A"/>
          <w:sz w:val="20"/>
          <w:szCs w:val="20"/>
        </w:rPr>
        <w:t xml:space="preserve">Billable hours. </w:t>
      </w:r>
      <w:r>
        <w:rPr>
          <w:rFonts w:ascii="Calibri" w:cs="Calibri" w:eastAsia="Calibri" w:hAnsi="Calibri"/>
          <w:color w:val="1A1A1A"/>
          <w:sz w:val="20"/>
          <w:szCs w:val="20"/>
        </w:rPr>
        <w:t xml:space="preserve">730 hours per month, the AWS convention. All hourly rates are multiplied by this figure.</w:t>
      </w:r>
    </w:p>
    <w:p>
      <w:pPr>
        <w:pStyle w:val="ListParagraph"/>
        <w:numPr>
          <w:ilvl w:val="0"/>
          <w:numId w:val="2"/>
        </w:numPr>
        <w:spacing w:after="90" w:line="276"/>
      </w:pPr>
      <w:r>
        <w:rPr>
          <w:rFonts w:ascii="Calibri" w:cs="Calibri" w:eastAsia="Calibri" w:hAnsi="Calibri"/>
          <w:b/>
          <w:bCs/>
          <w:color w:val="1A1A1A"/>
          <w:sz w:val="20"/>
          <w:szCs w:val="20"/>
        </w:rPr>
        <w:t xml:space="preserve">SMS volume is the platform's, not a tenant's. </w:t>
      </w:r>
      <w:r>
        <w:rPr>
          <w:rFonts w:ascii="Calibri" w:cs="Calibri" w:eastAsia="Calibri" w:hAnsi="Calibri"/>
          <w:color w:val="1A1A1A"/>
          <w:sz w:val="20"/>
          <w:szCs w:val="20"/>
        </w:rPr>
        <w:t xml:space="preserve">The Arkesel figures assume Fabric buys credit centrally and bills tenants for it. If tenants hold their own Arkesel accounts, remove that line entirely and the all-in run-rate at launch falls to </w:t>
      </w:r>
      <w:r>
        <w:rPr>
          <w:rFonts w:ascii="Calibri" w:cs="Calibri" w:eastAsia="Calibri" w:hAnsi="Calibri"/>
          <w:b/>
          <w:bCs/>
          <w:color w:val="1A1A1A"/>
          <w:sz w:val="20"/>
          <w:szCs w:val="20"/>
        </w:rPr>
        <w:t xml:space="preserve">$711</w:t>
      </w:r>
      <w:r>
        <w:rPr>
          <w:rFonts w:ascii="Calibri" w:cs="Calibri" w:eastAsia="Calibri" w:hAnsi="Calibri"/>
          <w:color w:val="1A1A1A"/>
          <w:sz w:val="20"/>
          <w:szCs w:val="20"/>
        </w:rPr>
        <w:t xml:space="preserve"> a month.</w:t>
      </w:r>
    </w:p>
    <w:p>
      <w:pPr>
        <w:spacing w:after="200"/>
      </w:pPr>
      <w:r>
        <w:rPr>
          <w:sz w:val="2"/>
          <w:szCs w:val="2"/>
        </w:rPr>
        <w:t xml:space="preserve"/>
      </w:r>
    </w:p>
    <w:p>
      <w:pPr>
        <w:pStyle w:val="Heading1"/>
        <w:keepNext/>
        <w:pBdr>
          <w:bottom w:val="single" w:color="1F4E5F" w:sz="8" w:space="6"/>
        </w:pBdr>
        <w:spacing w:after="160" w:before="360"/>
      </w:pPr>
      <w:r>
        <w:rPr>
          <w:rFonts w:ascii="Calibri" w:cs="Calibri" w:eastAsia="Calibri" w:hAnsi="Calibri"/>
          <w:b/>
          <w:bCs/>
          <w:color w:val="1F4E5F"/>
          <w:sz w:val="30"/>
          <w:szCs w:val="30"/>
        </w:rPr>
        <w:t xml:space="preserve">5. Cost detail — scenario B, modest launch</w:t>
      </w:r>
    </w:p>
    <w:p>
      <w:pPr>
        <w:spacing w:after="200" w:before="0" w:line="276"/>
      </w:pPr>
      <w:r>
        <w:rPr>
          <w:rFonts w:ascii="Calibri" w:cs="Calibri" w:eastAsia="Calibri" w:hAnsi="Calibri"/>
          <w:color w:val="1A1A1A"/>
          <w:sz w:val="20"/>
          <w:szCs w:val="20"/>
        </w:rPr>
        <w:t xml:space="preserve">This is the recommended launch configuration and the basis of the headline figure. Every line is a published list price multiplied by the quantity implied by §3 and §4.</w:t>
      </w:r>
    </w:p>
    <w:tbl>
      <w:tblPr>
        <w:tblW w:type="dxa" w:w="9360"/>
        <w:tblBorders>
          <w:top w:val="none"/>
          <w:left w:val="none"/>
          <w:bottom w:val="none"/>
          <w:right w:val="none"/>
          <w:insideH w:val="none"/>
          <w:insideV w:val="none"/>
        </w:tblBorders>
      </w:tblPr>
      <w:tblGrid>
        <w:gridCol w:w="5600"/>
        <w:gridCol w:w="500"/>
        <w:gridCol w:w="3260"/>
      </w:tblGrid>
      <w:tr>
        <w:trPr>
          <w:cantSplit/>
          <w:tblHeader/>
        </w:trPr>
        <w:tc>
          <w:tcPr>
            <w:tcW w:type="dxa" w:w="56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Cost line</w:t>
            </w:r>
          </w:p>
        </w:tc>
        <w:tc>
          <w:tcPr>
            <w:tcW w:type="dxa" w:w="5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
            </w:r>
          </w:p>
        </w:tc>
        <w:tc>
          <w:tcPr>
            <w:tcW w:type="dxa" w:w="326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aps/>
                <w:color w:val="FFFFFF"/>
                <w:spacing w:val="10"/>
                <w:sz w:val="15"/>
                <w:szCs w:val="15"/>
              </w:rPr>
              <w:t xml:space="preserve">USD / month</w:t>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aps/>
                <w:color w:val="1F4E5F"/>
                <w:spacing w:val="10"/>
                <w:sz w:val="15"/>
                <w:szCs w:val="15"/>
              </w:rPr>
              <w:t xml:space="preserve">Compute</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Fargate compute (steady state)</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$126.14</w:t>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Fargate compute (deploy + migration overhead)</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$0.59</w:t>
            </w:r>
          </w:p>
        </w:tc>
      </w:tr>
      <w:tr>
        <w:trPr>
          <w:cantSplit/>
        </w:trPr>
        <w:tc>
          <w:tcPr>
            <w:tcW w:type="dxa" w:w="56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   Subtotal — compute</w:t>
            </w:r>
          </w:p>
        </w:tc>
        <w:tc>
          <w:tcPr>
            <w:tcW w:type="dxa" w:w="5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
            </w:r>
          </w:p>
        </w:tc>
        <w:tc>
          <w:tcPr>
            <w:tcW w:type="dxa" w:w="326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$126.73</w:t>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aps/>
                <w:color w:val="1F4E5F"/>
                <w:spacing w:val="10"/>
                <w:sz w:val="15"/>
                <w:szCs w:val="15"/>
              </w:rPr>
              <w:t xml:space="preserve">Data stores</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RDS PostgreSQL instance (Multi-AZ)</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$100.74</w:t>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RDS gp3 storage (Multi-AZ)</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$25.40</w:t>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RDS backup storage</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w:t>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RDS Proxy</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$26.28</w:t>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RDS enhanced monitoring (CloudWatch)</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$0.60</w:t>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ElastiCache Redis nodes</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$198.56</w:t>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ElastiCache snapshot storage</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$0.51</w:t>
            </w:r>
          </w:p>
        </w:tc>
      </w:tr>
      <w:tr>
        <w:trPr>
          <w:cantSplit/>
        </w:trPr>
        <w:tc>
          <w:tcPr>
            <w:tcW w:type="dxa" w:w="56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   Subtotal — data stores</w:t>
            </w:r>
          </w:p>
        </w:tc>
        <w:tc>
          <w:tcPr>
            <w:tcW w:type="dxa" w:w="5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
            </w:r>
          </w:p>
        </w:tc>
        <w:tc>
          <w:tcPr>
            <w:tcW w:type="dxa" w:w="326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$352.09</w:t>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1F4E5F"/>
                <w:spacing w:val="10"/>
                <w:sz w:val="15"/>
                <w:szCs w:val="15"/>
              </w:rPr>
              <w:t xml:space="preserve">Networking</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NAT Gateway (hourly)</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$105.12</w:t>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NAT Gateway (data processed)</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$3.24</w:t>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Elastic IPs</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$10.95</w:t>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Cross-AZ data transfer</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$1.07</w:t>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Data transfer out to internet (beyond 100 GB free)</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w:t>
            </w:r>
          </w:p>
        </w:tc>
      </w:tr>
      <w:tr>
        <w:trPr>
          <w:cantSplit/>
        </w:trPr>
        <w:tc>
          <w:tcPr>
            <w:tcW w:type="dxa" w:w="56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   Subtotal — networking</w:t>
            </w:r>
          </w:p>
        </w:tc>
        <w:tc>
          <w:tcPr>
            <w:tcW w:type="dxa" w:w="5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
            </w:r>
          </w:p>
        </w:tc>
        <w:tc>
          <w:tcPr>
            <w:tcW w:type="dxa" w:w="326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$120.38</w:t>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aps/>
                <w:color w:val="1F4E5F"/>
                <w:spacing w:val="10"/>
                <w:sz w:val="15"/>
                <w:szCs w:val="15"/>
              </w:rPr>
              <w:t xml:space="preserve">Edge and ingress</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API Gateway HTTP API requests</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$3.50</w:t>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CloudFront requests</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w:t>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CloudFront data transfer out</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w:t>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AWS WAF (1 web ACL + 4 rules)</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$9.00</w:t>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AWS WAF (requests inspected)</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$2.10</w:t>
            </w:r>
          </w:p>
        </w:tc>
      </w:tr>
      <w:tr>
        <w:trPr>
          <w:cantSplit/>
        </w:trPr>
        <w:tc>
          <w:tcPr>
            <w:tcW w:type="dxa" w:w="56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   Subtotal — edge and ingress</w:t>
            </w:r>
          </w:p>
        </w:tc>
        <w:tc>
          <w:tcPr>
            <w:tcW w:type="dxa" w:w="5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
            </w:r>
          </w:p>
        </w:tc>
        <w:tc>
          <w:tcPr>
            <w:tcW w:type="dxa" w:w="326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$14.60</w:t>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1F4E5F"/>
                <w:spacing w:val="10"/>
                <w:sz w:val="15"/>
                <w:szCs w:val="15"/>
              </w:rPr>
              <w:t xml:space="preserve">Observability and operations</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CloudWatch Logs ingestion</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$14.25</w:t>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CloudWatch Logs storage (90-day retention)</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$2.25</w:t>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CloudWatch alarms</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$1.60</w:t>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CloudWatch custom metrics</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$1.20</w:t>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Container Insights (standard, billed as custom metrics)</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$16.50</w:t>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Secrets Manager</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$7.62</w:t>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KMS customer-managed keys</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$2.30</w:t>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Route 53 (1 public + 1 private zone)</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$2.40</w:t>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Cloud Map registered resources</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$0.50</w:t>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Cloud Map discovery API calls</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$0.44</w:t>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ECR image storage</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$2.40</w:t>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S3 (state, static assets, DSR exports)</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$1.07</w:t>
            </w:r>
          </w:p>
        </w:tc>
      </w:tr>
      <w:tr>
        <w:trPr>
          <w:cantSplit/>
        </w:trPr>
        <w:tc>
          <w:tcPr>
            <w:tcW w:type="dxa" w:w="5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SNS alarm notifications</w:t>
            </w:r>
          </w:p>
        </w:tc>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w:t>
            </w:r>
          </w:p>
        </w:tc>
      </w:tr>
      <w:tr>
        <w:trPr>
          <w:cantSplit/>
        </w:trPr>
        <w:tc>
          <w:tcPr>
            <w:tcW w:type="dxa" w:w="5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   CloudTrail (first management trail)</w:t>
            </w:r>
          </w:p>
        </w:tc>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
            </w:r>
          </w:p>
        </w:tc>
        <w:tc>
          <w:tcPr>
            <w:tcW w:type="dxa" w:w="32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w:t>
            </w:r>
          </w:p>
        </w:tc>
      </w:tr>
      <w:tr>
        <w:trPr>
          <w:cantSplit/>
        </w:trPr>
        <w:tc>
          <w:tcPr>
            <w:tcW w:type="dxa" w:w="56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   Subtotal — observability and operations</w:t>
            </w:r>
          </w:p>
        </w:tc>
        <w:tc>
          <w:tcPr>
            <w:tcW w:type="dxa" w:w="5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
            </w:r>
          </w:p>
        </w:tc>
        <w:tc>
          <w:tcPr>
            <w:tcW w:type="dxa" w:w="326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$52.53</w:t>
            </w:r>
          </w:p>
        </w:tc>
      </w:tr>
      <w:tr>
        <w:trPr>
          <w:cantSplit/>
        </w:trPr>
        <w:tc>
          <w:tcPr>
            <w:tcW w:type="dxa" w:w="56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AWS infrastructure total</w:t>
            </w:r>
          </w:p>
        </w:tc>
        <w:tc>
          <w:tcPr>
            <w:tcW w:type="dxa" w:w="5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
            </w:r>
          </w:p>
        </w:tc>
        <w:tc>
          <w:tcPr>
            <w:tcW w:type="dxa" w:w="326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$666.33</w:t>
            </w:r>
          </w:p>
        </w:tc>
      </w:tr>
    </w:tbl>
    <w:p>
      <w:pPr>
        <w:spacing w:after="240"/>
      </w:pPr>
      <w:r>
        <w:rPr>
          <w:sz w:val="2"/>
          <w:szCs w:val="2"/>
        </w:rPr>
        <w:t xml:space="preserve"/>
      </w:r>
    </w:p>
    <w:p>
      <w:pPr>
        <w:pStyle w:val="Heading2"/>
        <w:keepNext/>
        <w:spacing w:after="100" w:before="260"/>
      </w:pPr>
      <w:r>
        <w:rPr>
          <w:rFonts w:ascii="Calibri" w:cs="Calibri" w:eastAsia="Calibri" w:hAnsi="Calibri"/>
          <w:b/>
          <w:bCs/>
          <w:color w:val="1A1A1A"/>
          <w:sz w:val="23"/>
          <w:szCs w:val="23"/>
        </w:rPr>
        <w:t xml:space="preserve">5.1 Adding the vendor layer</w:t>
      </w:r>
    </w:p>
    <w:tbl>
      <w:tblPr>
        <w:tblW w:type="dxa" w:w="9360"/>
        <w:tblBorders>
          <w:top w:val="none"/>
          <w:left w:val="none"/>
          <w:bottom w:val="none"/>
          <w:right w:val="none"/>
          <w:insideH w:val="none"/>
          <w:insideV w:val="none"/>
        </w:tblBorders>
      </w:tblPr>
      <w:tblGrid>
        <w:gridCol w:w="4600"/>
        <w:gridCol w:w="2760"/>
        <w:gridCol w:w="2000"/>
      </w:tblGrid>
      <w:tr>
        <w:trPr>
          <w:cantSplit/>
          <w:tblHeader/>
        </w:trPr>
        <w:tc>
          <w:tcPr>
            <w:tcW w:type="dxa" w:w="46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Component</w:t>
            </w:r>
          </w:p>
        </w:tc>
        <w:tc>
          <w:tcPr>
            <w:tcW w:type="dxa" w:w="276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Basis</w:t>
            </w:r>
          </w:p>
        </w:tc>
        <w:tc>
          <w:tcPr>
            <w:tcW w:type="dxa" w:w="20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aps/>
                <w:color w:val="FFFFFF"/>
                <w:spacing w:val="10"/>
                <w:sz w:val="15"/>
                <w:szCs w:val="15"/>
              </w:rPr>
              <w:t xml:space="preserve">USD / month</w:t>
            </w:r>
          </w:p>
        </w:tc>
      </w:tr>
      <w:tr>
        <w:trPr>
          <w:cantSplit/>
        </w:trPr>
        <w:tc>
          <w:tcPr>
            <w:tcW w:type="dxa" w:w="4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AWS infrastructure</w:t>
            </w:r>
          </w:p>
        </w:tc>
        <w:tc>
          <w:tcPr>
            <w:tcW w:type="dxa" w:w="2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Table above</w:t>
            </w:r>
          </w:p>
        </w:tc>
        <w:tc>
          <w:tcPr>
            <w:tcW w:type="dxa" w:w="20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$666.33</w:t>
            </w:r>
          </w:p>
        </w:tc>
      </w:tr>
      <w:tr>
        <w:trPr>
          <w:cantSplit/>
        </w:trPr>
        <w:tc>
          <w:tcPr>
            <w:tcW w:type="dxa" w:w="4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WorkOS — identity and user management</w:t>
            </w:r>
          </w:p>
        </w:tc>
        <w:tc>
          <w:tcPr>
            <w:tcW w:type="dxa" w:w="2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Free below 1,000,000 MAU</w:t>
            </w:r>
          </w:p>
        </w:tc>
        <w:tc>
          <w:tcPr>
            <w:tcW w:type="dxa" w:w="20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w:t>
            </w:r>
          </w:p>
        </w:tc>
      </w:tr>
      <w:tr>
        <w:trPr>
          <w:cantSplit/>
        </w:trPr>
        <w:tc>
          <w:tcPr>
            <w:tcW w:type="dxa" w:w="4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Grafana Cloud Pro — metrics, logs, traces</w:t>
            </w:r>
          </w:p>
        </w:tc>
        <w:tc>
          <w:tcPr>
            <w:tcW w:type="dxa" w:w="2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$19 platform fee; free-tier allowances cover launch volume</w:t>
            </w:r>
          </w:p>
        </w:tc>
        <w:tc>
          <w:tcPr>
            <w:tcW w:type="dxa" w:w="20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$19.00</w:t>
            </w:r>
          </w:p>
        </w:tc>
      </w:tr>
      <w:tr>
        <w:trPr>
          <w:cantSplit/>
        </w:trPr>
        <w:tc>
          <w:tcPr>
            <w:tcW w:type="dxa" w:w="4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Sentry Team — error and performance monitoring</w:t>
            </w:r>
          </w:p>
        </w:tc>
        <w:tc>
          <w:tcPr>
            <w:tcW w:type="dxa" w:w="2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$26, annual billing</w:t>
            </w:r>
          </w:p>
        </w:tc>
        <w:tc>
          <w:tcPr>
            <w:tcW w:type="dxa" w:w="20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$26.00</w:t>
            </w:r>
          </w:p>
        </w:tc>
      </w:tr>
      <w:tr>
        <w:trPr>
          <w:cantSplit/>
        </w:trPr>
        <w:tc>
          <w:tcPr>
            <w:tcW w:type="dxa" w:w="4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Infisical — secrets for local development</w:t>
            </w:r>
          </w:p>
        </w:tc>
        <w:tc>
          <w:tcPr>
            <w:tcW w:type="dxa" w:w="2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Free tier, 5 identities</w:t>
            </w:r>
          </w:p>
        </w:tc>
        <w:tc>
          <w:tcPr>
            <w:tcW w:type="dxa" w:w="20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w:t>
            </w:r>
          </w:p>
        </w:tc>
      </w:tr>
      <w:tr>
        <w:trPr>
          <w:cantSplit/>
        </w:trPr>
        <w:tc>
          <w:tcPr>
            <w:tcW w:type="dxa" w:w="4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Paystack — payment gateway</w:t>
            </w:r>
          </w:p>
        </w:tc>
        <w:tc>
          <w:tcPr>
            <w:tcW w:type="dxa" w:w="2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No platform fee; per-transaction only</w:t>
            </w:r>
          </w:p>
        </w:tc>
        <w:tc>
          <w:tcPr>
            <w:tcW w:type="dxa" w:w="20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w:t>
            </w:r>
          </w:p>
        </w:tc>
      </w:tr>
      <w:tr>
        <w:trPr>
          <w:cantSplit/>
        </w:trPr>
        <w:tc>
          <w:tcPr>
            <w:tcW w:type="dxa" w:w="46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Arkesel — SMS platform fee</w:t>
            </w:r>
          </w:p>
        </w:tc>
        <w:tc>
          <w:tcPr>
            <w:tcW w:type="dxa" w:w="2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No platform fee; prepaid credit only</w:t>
            </w:r>
          </w:p>
        </w:tc>
        <w:tc>
          <w:tcPr>
            <w:tcW w:type="dxa" w:w="20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w:t>
            </w:r>
          </w:p>
        </w:tc>
      </w:tr>
      <w:tr>
        <w:trPr>
          <w:cantSplit/>
        </w:trPr>
        <w:tc>
          <w:tcPr>
            <w:tcW w:type="dxa" w:w="46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Arkesel — SMS credit for 300,000 messages</w:t>
            </w:r>
          </w:p>
        </w:tc>
        <w:tc>
          <w:tcPr>
            <w:tcW w:type="dxa" w:w="2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GHS 0.0219 per SMS at GHS 11.27 to the dollar</w:t>
            </w:r>
          </w:p>
        </w:tc>
        <w:tc>
          <w:tcPr>
            <w:tcW w:type="dxa" w:w="20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$582.96</w:t>
            </w:r>
          </w:p>
        </w:tc>
      </w:tr>
      <w:tr>
        <w:trPr>
          <w:cantSplit/>
        </w:trPr>
        <w:tc>
          <w:tcPr>
            <w:tcW w:type="dxa" w:w="46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All-in monthly run-rate</w:t>
            </w:r>
          </w:p>
        </w:tc>
        <w:tc>
          <w:tcPr>
            <w:tcW w:type="dxa" w:w="276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
            </w:r>
          </w:p>
        </w:tc>
        <w:tc>
          <w:tcPr>
            <w:tcW w:type="dxa" w:w="20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$1,294.29</w:t>
            </w:r>
          </w:p>
        </w:tc>
      </w:tr>
      <w:tr>
        <w:trPr>
          <w:cantSplit/>
        </w:trPr>
        <w:tc>
          <w:tcPr>
            <w:tcW w:type="dxa" w:w="46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All-in annual run-rate</w:t>
            </w:r>
          </w:p>
        </w:tc>
        <w:tc>
          <w:tcPr>
            <w:tcW w:type="dxa" w:w="276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
            </w:r>
          </w:p>
        </w:tc>
        <w:tc>
          <w:tcPr>
            <w:tcW w:type="dxa" w:w="20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$15,531.52</w:t>
            </w:r>
          </w:p>
        </w:tc>
      </w:tr>
    </w:tbl>
    <w:p>
      <w:pPr>
        <w:spacing w:after="200"/>
      </w:pPr>
      <w:r>
        <w:rPr>
          <w:sz w:val="2"/>
          <w:szCs w:val="2"/>
        </w:rPr>
        <w:t xml:space="preserve"/>
      </w:r>
    </w:p>
    <w:p>
      <w:pPr>
        <w:spacing w:after="160" w:before="0" w:line="276"/>
      </w:pPr>
      <w:r>
        <w:rPr>
          <w:rFonts w:ascii="Calibri" w:cs="Calibri" w:eastAsia="Calibri" w:hAnsi="Calibri"/>
          <w:color w:val="1A1A1A"/>
          <w:sz w:val="20"/>
          <w:szCs w:val="20"/>
        </w:rPr>
        <w:t xml:space="preserve">The SMS credit is 45 per cent of the all-in figure and is a variable cost of goods sold, not infrastructure. Whether it belongs in this budget at all depends on whether Fabric or the tenant holds the Arkesel account — see §4.1. Payment processing fees are excluded on the same reasoning and are quantified in §8.</w:t>
      </w:r>
    </w:p>
    <w:p>
      <w:pPr>
        <w:spacing w:after="200"/>
      </w:pPr>
      <w:r>
        <w:rPr>
          <w:sz w:val="2"/>
          <w:szCs w:val="2"/>
        </w:rPr>
        <w:t xml:space="preserve"/>
      </w:r>
    </w:p>
    <w:p>
      <w:pPr>
        <w:pStyle w:val="Heading1"/>
        <w:keepNext/>
        <w:pBdr>
          <w:bottom w:val="single" w:color="1F4E5F" w:sz="8" w:space="6"/>
        </w:pBdr>
        <w:spacing w:after="160" w:before="360"/>
      </w:pPr>
      <w:r>
        <w:rPr>
          <w:rFonts w:ascii="Calibri" w:cs="Calibri" w:eastAsia="Calibri" w:hAnsi="Calibri"/>
          <w:b/>
          <w:bCs/>
          <w:color w:val="1F4E5F"/>
          <w:sz w:val="30"/>
          <w:szCs w:val="30"/>
        </w:rPr>
        <w:t xml:space="preserve">6. Scenario comparison</w:t>
      </w:r>
    </w:p>
    <w:p>
      <w:pPr>
        <w:spacing w:after="200" w:before="0" w:line="276"/>
      </w:pPr>
      <w:r>
        <w:rPr>
          <w:rFonts w:ascii="Calibri" w:cs="Calibri" w:eastAsia="Calibri" w:hAnsi="Calibri"/>
          <w:color w:val="1A1A1A"/>
          <w:sz w:val="20"/>
          <w:szCs w:val="20"/>
        </w:rPr>
        <w:t xml:space="preserve">The same architecture at three workloads. Read the last three rows first: they are what the scenarios actually tell you.</w:t>
      </w:r>
    </w:p>
    <w:tbl>
      <w:tblPr>
        <w:tblW w:type="dxa" w:w="9360"/>
        <w:tblBorders>
          <w:top w:val="none"/>
          <w:left w:val="none"/>
          <w:bottom w:val="none"/>
          <w:right w:val="none"/>
          <w:insideH w:val="none"/>
          <w:insideV w:val="none"/>
        </w:tblBorders>
      </w:tblPr>
      <w:tblGrid>
        <w:gridCol w:w="3060"/>
        <w:gridCol w:w="2100"/>
        <w:gridCol w:w="2100"/>
        <w:gridCol w:w="2100"/>
      </w:tblGrid>
      <w:tr>
        <w:trPr>
          <w:cantSplit/>
          <w:tblHeader/>
        </w:trPr>
        <w:tc>
          <w:tcPr>
            <w:tcW w:type="dxa" w:w="306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
            </w:r>
          </w:p>
        </w:tc>
        <w:tc>
          <w:tcPr>
            <w:tcW w:type="dxa" w:w="21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aps/>
                <w:color w:val="FFFFFF"/>
                <w:spacing w:val="10"/>
                <w:sz w:val="15"/>
                <w:szCs w:val="15"/>
              </w:rPr>
              <w:t xml:space="preserve">A · Soft launch</w:t>
            </w:r>
          </w:p>
        </w:tc>
        <w:tc>
          <w:tcPr>
            <w:tcW w:type="dxa" w:w="21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aps/>
                <w:color w:val="FFFFFF"/>
                <w:spacing w:val="10"/>
                <w:sz w:val="15"/>
                <w:szCs w:val="15"/>
              </w:rPr>
              <w:t xml:space="preserve">B · Modest launch</w:t>
            </w:r>
          </w:p>
        </w:tc>
        <w:tc>
          <w:tcPr>
            <w:tcW w:type="dxa" w:w="21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aps/>
                <w:color w:val="FFFFFF"/>
                <w:spacing w:val="10"/>
                <w:sz w:val="15"/>
                <w:szCs w:val="15"/>
              </w:rPr>
              <w:t xml:space="preserve">C · 12-month growth</w:t>
            </w:r>
          </w:p>
        </w:tc>
      </w:tr>
      <w:tr>
        <w:trPr>
          <w:cantSplit/>
        </w:trPr>
        <w:tc>
          <w:tcPr>
            <w:tcW w:type="dxa" w:w="30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aps/>
                <w:color w:val="1F4E5F"/>
                <w:spacing w:val="10"/>
                <w:sz w:val="15"/>
                <w:szCs w:val="15"/>
              </w:rPr>
              <w:t xml:space="preserve">Compute</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
            </w:r>
          </w:p>
        </w:tc>
      </w:tr>
      <w:tr>
        <w:trPr>
          <w:cantSplit/>
        </w:trPr>
        <w:tc>
          <w:tcPr>
            <w:tcW w:type="dxa" w:w="30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   Fargate</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$90.46</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$126.73</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$235.00</w:t>
            </w:r>
          </w:p>
        </w:tc>
      </w:tr>
      <w:tr>
        <w:trPr>
          <w:cantSplit/>
        </w:trPr>
        <w:tc>
          <w:tcPr>
            <w:tcW w:type="dxa" w:w="30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aps/>
                <w:color w:val="1F4E5F"/>
                <w:spacing w:val="10"/>
                <w:sz w:val="15"/>
                <w:szCs w:val="15"/>
              </w:rPr>
              <w:t xml:space="preserve">Data stores</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
            </w:r>
          </w:p>
        </w:tc>
      </w:tr>
      <w:tr>
        <w:trPr>
          <w:cantSplit/>
        </w:trPr>
        <w:tc>
          <w:tcPr>
            <w:tcW w:type="dxa" w:w="30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   RDS PostgreSQL, all lines</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$64.40</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$153.02</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$291.86</w:t>
            </w:r>
          </w:p>
        </w:tc>
      </w:tr>
      <w:tr>
        <w:trPr>
          <w:cantSplit/>
        </w:trPr>
        <w:tc>
          <w:tcPr>
            <w:tcW w:type="dxa" w:w="30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   ElastiCache Redis, all lines</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$50.15</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$199.07</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$199.07</w:t>
            </w:r>
          </w:p>
        </w:tc>
      </w:tr>
      <w:tr>
        <w:trPr>
          <w:cantSplit/>
        </w:trPr>
        <w:tc>
          <w:tcPr>
            <w:tcW w:type="dxa" w:w="30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1F4E5F"/>
                <w:spacing w:val="10"/>
                <w:sz w:val="15"/>
                <w:szCs w:val="15"/>
              </w:rPr>
              <w:t xml:space="preserve">Networking and edge</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
            </w:r>
          </w:p>
        </w:tc>
      </w:tr>
      <w:tr>
        <w:trPr>
          <w:cantSplit/>
        </w:trPr>
        <w:tc>
          <w:tcPr>
            <w:tcW w:type="dxa" w:w="30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   Networking</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$79.42</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$120.38</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$131.40</w:t>
            </w:r>
          </w:p>
        </w:tc>
      </w:tr>
      <w:tr>
        <w:trPr>
          <w:cantSplit/>
        </w:trPr>
        <w:tc>
          <w:tcPr>
            <w:tcW w:type="dxa" w:w="30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   Edge and ingress</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$10.28</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$14.60</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$39.00</w:t>
            </w:r>
          </w:p>
        </w:tc>
      </w:tr>
      <w:tr>
        <w:trPr>
          <w:cantSplit/>
        </w:trPr>
        <w:tc>
          <w:tcPr>
            <w:tcW w:type="dxa" w:w="30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aps/>
                <w:color w:val="1F4E5F"/>
                <w:spacing w:val="10"/>
                <w:sz w:val="15"/>
                <w:szCs w:val="15"/>
              </w:rPr>
              <w:t xml:space="preserve">Operations</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
            </w:r>
          </w:p>
        </w:tc>
      </w:tr>
      <w:tr>
        <w:trPr>
          <w:cantSplit/>
        </w:trPr>
        <w:tc>
          <w:tcPr>
            <w:tcW w:type="dxa" w:w="30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   Observability and operations</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$34.01</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$52.53</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$116.72</w:t>
            </w:r>
          </w:p>
        </w:tc>
      </w:tr>
      <w:tr>
        <w:trPr>
          <w:cantSplit/>
        </w:trPr>
        <w:tc>
          <w:tcPr>
            <w:tcW w:type="dxa" w:w="306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AWS infrastructure total</w:t>
            </w:r>
          </w:p>
        </w:tc>
        <w:tc>
          <w:tcPr>
            <w:tcW w:type="dxa" w:w="2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$328.72</w:t>
            </w:r>
          </w:p>
        </w:tc>
        <w:tc>
          <w:tcPr>
            <w:tcW w:type="dxa" w:w="2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$666.33</w:t>
            </w:r>
          </w:p>
        </w:tc>
        <w:tc>
          <w:tcPr>
            <w:tcW w:type="dxa" w:w="2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$1,013.05</w:t>
            </w:r>
          </w:p>
        </w:tc>
      </w:tr>
      <w:tr>
        <w:trPr>
          <w:cantSplit/>
        </w:trPr>
        <w:tc>
          <w:tcPr>
            <w:tcW w:type="dxa" w:w="30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Fixed vendor subscriptions</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$45.00</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$45.00</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$45.00</w:t>
            </w:r>
          </w:p>
        </w:tc>
      </w:tr>
      <w:tr>
        <w:trPr>
          <w:cantSplit/>
        </w:trPr>
        <w:tc>
          <w:tcPr>
            <w:tcW w:type="dxa" w:w="30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SMS credit (cost of goods sold)</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$97.16</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$582.96</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$2,914.82</w:t>
            </w:r>
          </w:p>
        </w:tc>
      </w:tr>
      <w:tr>
        <w:trPr>
          <w:cantSplit/>
        </w:trPr>
        <w:tc>
          <w:tcPr>
            <w:tcW w:type="dxa" w:w="306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All-in monthly run-rate</w:t>
            </w:r>
          </w:p>
        </w:tc>
        <w:tc>
          <w:tcPr>
            <w:tcW w:type="dxa" w:w="2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$470.88</w:t>
            </w:r>
          </w:p>
        </w:tc>
        <w:tc>
          <w:tcPr>
            <w:tcW w:type="dxa" w:w="2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$1,294.29</w:t>
            </w:r>
          </w:p>
        </w:tc>
        <w:tc>
          <w:tcPr>
            <w:tcW w:type="dxa" w:w="2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$3,972.87</w:t>
            </w:r>
          </w:p>
        </w:tc>
      </w:tr>
      <w:tr>
        <w:trPr>
          <w:cantSplit/>
        </w:trPr>
        <w:tc>
          <w:tcPr>
            <w:tcW w:type="dxa" w:w="306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All-in annual run-rate</w:t>
            </w:r>
          </w:p>
        </w:tc>
        <w:tc>
          <w:tcPr>
            <w:tcW w:type="dxa" w:w="2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$5,650.57</w:t>
            </w:r>
          </w:p>
        </w:tc>
        <w:tc>
          <w:tcPr>
            <w:tcW w:type="dxa" w:w="2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$15,531.52</w:t>
            </w:r>
          </w:p>
        </w:tc>
        <w:tc>
          <w:tcPr>
            <w:tcW w:type="dxa" w:w="2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$47,674.42</w:t>
            </w:r>
          </w:p>
        </w:tc>
      </w:tr>
      <w:tr>
        <w:trPr>
          <w:cantSplit/>
        </w:trPr>
        <w:tc>
          <w:tcPr>
            <w:tcW w:type="dxa" w:w="306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AWS per tenant per month</w:t>
            </w:r>
          </w:p>
        </w:tc>
        <w:tc>
          <w:tcPr>
            <w:tcW w:type="dxa" w:w="2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$32.87</w:t>
            </w:r>
          </w:p>
        </w:tc>
        <w:tc>
          <w:tcPr>
            <w:tcW w:type="dxa" w:w="2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$26.65</w:t>
            </w:r>
          </w:p>
        </w:tc>
        <w:tc>
          <w:tcPr>
            <w:tcW w:type="dxa" w:w="2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$13.51</w:t>
            </w:r>
          </w:p>
        </w:tc>
      </w:tr>
      <w:tr>
        <w:trPr>
          <w:cantSplit/>
        </w:trPr>
        <w:tc>
          <w:tcPr>
            <w:tcW w:type="dxa" w:w="306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All-in cost per SMS</w:t>
            </w:r>
          </w:p>
        </w:tc>
        <w:tc>
          <w:tcPr>
            <w:tcW w:type="dxa" w:w="2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$0.0094</w:t>
            </w:r>
          </w:p>
        </w:tc>
        <w:tc>
          <w:tcPr>
            <w:tcW w:type="dxa" w:w="2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$0.0043</w:t>
            </w:r>
          </w:p>
        </w:tc>
        <w:tc>
          <w:tcPr>
            <w:tcW w:type="dxa" w:w="2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$0.0026</w:t>
            </w:r>
          </w:p>
        </w:tc>
      </w:tr>
    </w:tbl>
    <w:p>
      <w:pPr>
        <w:spacing w:after="240"/>
      </w:pPr>
      <w:r>
        <w:rPr>
          <w:sz w:val="2"/>
          <w:szCs w:val="2"/>
        </w:rPr>
        <w:t xml:space="preserve"/>
      </w:r>
    </w:p>
    <w:p>
      <w:pPr>
        <w:pStyle w:val="Heading2"/>
        <w:keepNext/>
        <w:spacing w:after="100" w:before="260"/>
      </w:pPr>
      <w:r>
        <w:rPr>
          <w:rFonts w:ascii="Calibri" w:cs="Calibri" w:eastAsia="Calibri" w:hAnsi="Calibri"/>
          <w:b/>
          <w:bCs/>
          <w:color w:val="1A1A1A"/>
          <w:sz w:val="23"/>
          <w:szCs w:val="23"/>
        </w:rPr>
        <w:t xml:space="preserve">6.1 What the scenarios show</w:t>
      </w:r>
    </w:p>
    <w:p>
      <w:pPr>
        <w:spacing w:after="160" w:before="0" w:line="276"/>
      </w:pPr>
      <w:r>
        <w:rPr>
          <w:rFonts w:ascii="Calibri" w:cs="Calibri" w:eastAsia="Calibri" w:hAnsi="Calibri"/>
          <w:color w:val="1A1A1A"/>
          <w:sz w:val="20"/>
          <w:szCs w:val="20"/>
        </w:rPr>
        <w:t xml:space="preserve">Costs are strongly sublinear in tenant count. Going from 10 tenants to 75 — a 7.5-fold increase — raises AWS spend from $329 to $1,013, roughly threefold, and cuts AWS cost per tenant from $33 to $14 a month. This is what row-level-security tenancy buys: tenants share every resource, so the marginal tenant is almost free until a shared resource saturates.</w:t>
      </w:r>
    </w:p>
    <w:p>
      <w:pPr>
        <w:spacing w:after="160" w:before="0" w:line="276"/>
      </w:pPr>
      <w:r>
        <w:rPr>
          <w:rFonts w:ascii="Calibri" w:cs="Calibri" w:eastAsia="Calibri" w:hAnsi="Calibri"/>
          <w:color w:val="1A1A1A"/>
          <w:sz w:val="20"/>
          <w:szCs w:val="20"/>
        </w:rPr>
        <w:t xml:space="preserve">The unit economics improve for the same reason. All-in cost per SMS falls from $0.0093 to $0.0026 across the three scenarios, and at scenario C the carrier's own charge is $0.0019 of that $0.0026 — meaning 73 per cent of the fully-loaded cost of a message is Arkesel's, not Fabric's. Any pricing model that recovers the carrier cost plus a modest margin is comfortably above the infrastructure cost.</w:t>
      </w:r>
    </w:p>
    <w:tbl>
      <w:tblPr>
        <w:tblW w:type="dxa" w:w="9360"/>
        <w:tblBorders>
          <w:top w:val="none"/>
          <w:left w:val="none"/>
          <w:bottom w:val="none"/>
          <w:right w:val="none"/>
          <w:insideH w:val="none"/>
          <w:insideV w:val="none"/>
        </w:tblBorders>
      </w:tblPr>
      <w:tblGrid>
        <w:gridCol w:w="60"/>
        <w:gridCol w:w="9300"/>
      </w:tblGrid>
      <w:tr>
        <w:trPr>
          <w:cantSplit/>
        </w:trPr>
        <w:tc>
          <w:tcPr>
            <w:tcW w:type="dxa" w:w="60"/>
            <w:tcBorders>
              <w:top w:val="none"/>
              <w:left w:val="none"/>
              <w:bottom w:val="none"/>
              <w:right w:val="none"/>
            </w:tcBorders>
            <w:shd w:fill="8A3A2E" w:color="auto" w:val="clear"/>
            <w:tcMar>
              <w:top w:type="dxa" w:w="0"/>
              <w:left w:type="dxa" w:w="0"/>
              <w:bottom w:type="dxa" w:w="0"/>
              <w:right w:type="dxa" w:w="0"/>
            </w:tcMar>
          </w:tcPr>
          <w:p>
            <w:r>
              <w:rPr>
                <w:sz w:val="2"/>
                <w:szCs w:val="2"/>
              </w:rPr>
              <w:t xml:space="preserve"/>
            </w:r>
          </w:p>
        </w:tc>
        <w:tc>
          <w:tcPr>
            <w:tcW w:type="dxa" w:w="9300"/>
            <w:tcBorders>
              <w:top w:val="none"/>
              <w:left w:val="none"/>
              <w:bottom w:val="none"/>
              <w:right w:val="none"/>
            </w:tcBorders>
            <w:shd w:fill="FBF0EE" w:color="auto" w:val="clear"/>
            <w:tcMar>
              <w:top w:type="dxa" w:w="150"/>
              <w:left w:type="dxa" w:w="200"/>
              <w:bottom w:type="dxa" w:w="150"/>
              <w:right w:type="dxa" w:w="200"/>
            </w:tcMar>
          </w:tcPr>
          <w:p>
            <w:pPr>
              <w:spacing w:after="60"/>
            </w:pPr>
            <w:r>
              <w:rPr>
                <w:rFonts w:ascii="Calibri" w:cs="Calibri" w:eastAsia="Calibri" w:hAnsi="Calibri"/>
                <w:b/>
                <w:bCs/>
                <w:caps/>
                <w:color w:val="8A3A2E"/>
                <w:spacing w:val="10"/>
                <w:sz w:val="19"/>
                <w:szCs w:val="19"/>
              </w:rPr>
              <w:t xml:space="preserve">Where this breaks</w:t>
            </w:r>
          </w:p>
          <w:p>
            <w:pPr>
              <w:spacing w:after="0" w:line="276"/>
            </w:pPr>
            <w:r>
              <w:rPr>
                <w:rFonts w:ascii="Calibri" w:cs="Calibri" w:eastAsia="Calibri" w:hAnsi="Calibri"/>
                <w:b/>
                <w:bCs/>
                <w:color w:val="1A1A1A"/>
                <w:sz w:val="19"/>
                <w:szCs w:val="19"/>
              </w:rPr>
              <w:t xml:space="preserve">The database is the first thing that will saturate. </w:t>
            </w:r>
            <w:r>
              <w:rPr>
                <w:rFonts w:ascii="Calibri" w:cs="Calibri" w:eastAsia="Calibri" w:hAnsi="Calibri"/>
                <w:color w:val="1A1A1A"/>
                <w:sz w:val="19"/>
                <w:szCs w:val="19"/>
              </w:rPr>
              <w:t xml:space="preserve">A db.t4g.large is a burstable instance with 2 vCPUs. Scenario C runs nine Fargate tasks against it through RDS Proxy, and burstable CPU credit exhaustion is billed separately at $0.075 per vCPU-hour and is not covered by a reserved instance. Before scenario C volumes arrive, expect to move to a non-burstable class — db.m6g.large at $0.176 an hour single-AZ, so roughly </w:t>
            </w:r>
            <w:r>
              <w:rPr>
                <w:rFonts w:ascii="Calibri" w:cs="Calibri" w:eastAsia="Calibri" w:hAnsi="Calibri"/>
                <w:b/>
                <w:bCs/>
                <w:color w:val="1A1A1A"/>
                <w:sz w:val="19"/>
                <w:szCs w:val="19"/>
              </w:rPr>
              <w:t xml:space="preserve">$257</w:t>
            </w:r>
            <w:r>
              <w:rPr>
                <w:rFonts w:ascii="Calibri" w:cs="Calibri" w:eastAsia="Calibri" w:hAnsi="Calibri"/>
                <w:color w:val="1A1A1A"/>
                <w:sz w:val="19"/>
                <w:szCs w:val="19"/>
              </w:rPr>
              <w:t xml:space="preserve"> a month Multi-AZ, an increase of about </w:t>
            </w:r>
            <w:r>
              <w:rPr>
                <w:rFonts w:ascii="Calibri" w:cs="Calibri" w:eastAsia="Calibri" w:hAnsi="Calibri"/>
                <w:b/>
                <w:bCs/>
                <w:color w:val="1A1A1A"/>
                <w:sz w:val="19"/>
                <w:szCs w:val="19"/>
              </w:rPr>
              <w:t xml:space="preserve">$55</w:t>
            </w:r>
            <w:r>
              <w:rPr>
                <w:rFonts w:ascii="Calibri" w:cs="Calibri" w:eastAsia="Calibri" w:hAnsi="Calibri"/>
                <w:color w:val="1A1A1A"/>
                <w:sz w:val="19"/>
                <w:szCs w:val="19"/>
              </w:rPr>
              <w:t xml:space="preserve"> over the figure above.</w:t>
            </w:r>
          </w:p>
        </w:tc>
      </w:tr>
    </w:tbl>
    <w:p>
      <w:pPr>
        <w:spacing w:after="200"/>
      </w:pPr>
      <w:r>
        <w:rPr>
          <w:sz w:val="2"/>
          <w:szCs w:val="2"/>
        </w:rPr>
        <w:t xml:space="preserve"/>
      </w:r>
    </w:p>
    <w:p>
      <w:pPr>
        <w:pStyle w:val="Heading1"/>
        <w:keepNext/>
        <w:pBdr>
          <w:bottom w:val="single" w:color="1F4E5F" w:sz="8" w:space="6"/>
        </w:pBdr>
        <w:spacing w:after="160" w:before="360"/>
      </w:pPr>
      <w:r>
        <w:rPr>
          <w:rFonts w:ascii="Calibri" w:cs="Calibri" w:eastAsia="Calibri" w:hAnsi="Calibri"/>
          <w:b/>
          <w:bCs/>
          <w:color w:val="1F4E5F"/>
          <w:sz w:val="30"/>
          <w:szCs w:val="30"/>
        </w:rPr>
        <w:t xml:space="preserve">7. Optimisation levers</w:t>
      </w:r>
    </w:p>
    <w:p>
      <w:pPr>
        <w:spacing w:after="200" w:before="0" w:line="276"/>
      </w:pPr>
      <w:r>
        <w:rPr>
          <w:rFonts w:ascii="Calibri" w:cs="Calibri" w:eastAsia="Calibri" w:hAnsi="Calibri"/>
          <w:color w:val="1A1A1A"/>
          <w:sz w:val="20"/>
          <w:szCs w:val="20"/>
        </w:rPr>
        <w:t xml:space="preserve">The levers below are applied sequentially, so each saving is measured against the run-rate left by the ones above it and none is double-counted. Together they reduce AWS spend at launch scale by 45 per cent.</w:t>
      </w:r>
    </w:p>
    <w:tbl>
      <w:tblPr>
        <w:tblW w:type="dxa" w:w="9360"/>
        <w:tblBorders>
          <w:top w:val="none"/>
          <w:left w:val="none"/>
          <w:bottom w:val="none"/>
          <w:right w:val="none"/>
          <w:insideH w:val="none"/>
          <w:insideV w:val="none"/>
        </w:tblBorders>
      </w:tblPr>
      <w:tblGrid>
        <w:gridCol w:w="5000"/>
        <w:gridCol w:w="1560"/>
        <w:gridCol w:w="1700"/>
        <w:gridCol w:w="1100"/>
      </w:tblGrid>
      <w:tr>
        <w:trPr>
          <w:cantSplit/>
          <w:tblHeader/>
        </w:trPr>
        <w:tc>
          <w:tcPr>
            <w:tcW w:type="dxa" w:w="50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Lever</w:t>
            </w:r>
          </w:p>
        </w:tc>
        <w:tc>
          <w:tcPr>
            <w:tcW w:type="dxa" w:w="156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aps/>
                <w:color w:val="FFFFFF"/>
                <w:spacing w:val="10"/>
                <w:sz w:val="15"/>
                <w:szCs w:val="15"/>
              </w:rPr>
              <w:t xml:space="preserve">Saving / month</w:t>
            </w:r>
          </w:p>
        </w:tc>
        <w:tc>
          <w:tcPr>
            <w:tcW w:type="dxa" w:w="17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aps/>
                <w:color w:val="FFFFFF"/>
                <w:spacing w:val="10"/>
                <w:sz w:val="15"/>
                <w:szCs w:val="15"/>
              </w:rPr>
              <w:t xml:space="preserve">Risk</w:t>
            </w:r>
          </w:p>
        </w:tc>
        <w:tc>
          <w:tcPr>
            <w:tcW w:type="dxa" w:w="11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aps/>
                <w:color w:val="FFFFFF"/>
                <w:spacing w:val="10"/>
                <w:sz w:val="15"/>
                <w:szCs w:val="15"/>
              </w:rPr>
              <w:t xml:space="preserve">Effort</w:t>
            </w:r>
          </w:p>
        </w:tc>
      </w:tr>
      <w:tr>
        <w:trPr>
          <w:cantSplit/>
        </w:trPr>
        <w:tc>
          <w:tcPr>
            <w:tcW w:type="dxa" w:w="50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Right-size Redis: queue tier stays 2-node Multi-AZ, cache tier drops to one smaller node</w:t>
            </w:r>
          </w:p>
        </w:tc>
        <w:tc>
          <w:tcPr>
            <w:tcW w:type="dxa" w:w="15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$74.46</w:t>
            </w:r>
          </w:p>
        </w:tc>
        <w:tc>
          <w:tcPr>
            <w:tcW w:type="dxa" w:w="17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None</w:t>
            </w:r>
          </w:p>
        </w:tc>
        <w:tc>
          <w:tcPr>
            <w:tcW w:type="dxa" w:w="1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Low</w:t>
            </w:r>
          </w:p>
        </w:tc>
      </w:tr>
      <w:tr>
        <w:trPr>
          <w:cantSplit/>
        </w:trPr>
        <w:tc>
          <w:tcPr>
            <w:tcW w:type="dxa" w:w="50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Rebuild images for ARM and run Fargate on Graviton</w:t>
            </w:r>
          </w:p>
        </w:tc>
        <w:tc>
          <w:tcPr>
            <w:tcW w:type="dxa" w:w="15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$25.22</w:t>
            </w:r>
          </w:p>
        </w:tc>
        <w:tc>
          <w:tcPr>
            <w:tcW w:type="dxa" w:w="17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Low</w:t>
            </w:r>
          </w:p>
        </w:tc>
        <w:tc>
          <w:tcPr>
            <w:tcW w:type="dxa" w:w="1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Medium</w:t>
            </w:r>
          </w:p>
        </w:tc>
      </w:tr>
      <w:tr>
        <w:trPr>
          <w:cantSplit/>
        </w:trPr>
        <w:tc>
          <w:tcPr>
            <w:tcW w:type="dxa" w:w="50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Consolidate NAT Gateways from 3 to 1 and release 2 Elastic IPs (upper bound: some egress becomes billable cross-AZ traffic)</w:t>
            </w:r>
          </w:p>
        </w:tc>
        <w:tc>
          <w:tcPr>
            <w:tcW w:type="dxa" w:w="15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$77.38</w:t>
            </w:r>
          </w:p>
        </w:tc>
        <w:tc>
          <w:tcPr>
            <w:tcW w:type="dxa" w:w="17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Medium</w:t>
            </w:r>
          </w:p>
        </w:tc>
        <w:tc>
          <w:tcPr>
            <w:tcW w:type="dxa" w:w="1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Low</w:t>
            </w:r>
          </w:p>
        </w:tc>
      </w:tr>
      <w:tr>
        <w:trPr>
          <w:cantSplit/>
        </w:trPr>
        <w:tc>
          <w:tcPr>
            <w:tcW w:type="dxa" w:w="50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Add the free S3 gateway VPC endpoint so ECR layer pulls bypass NAT</w:t>
            </w:r>
          </w:p>
        </w:tc>
        <w:tc>
          <w:tcPr>
            <w:tcW w:type="dxa" w:w="15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$1.54</w:t>
            </w:r>
          </w:p>
        </w:tc>
        <w:tc>
          <w:tcPr>
            <w:tcW w:type="dxa" w:w="17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None</w:t>
            </w:r>
          </w:p>
        </w:tc>
        <w:tc>
          <w:tcPr>
            <w:tcW w:type="dxa" w:w="1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Low</w:t>
            </w:r>
          </w:p>
        </w:tc>
      </w:tr>
      <w:tr>
        <w:trPr>
          <w:cantSplit/>
        </w:trPr>
        <w:tc>
          <w:tcPr>
            <w:tcW w:type="dxa" w:w="50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Enable CloudFront caching on dashboard static assets (~40% of requests stop reaching the origin)</w:t>
            </w:r>
          </w:p>
        </w:tc>
        <w:tc>
          <w:tcPr>
            <w:tcW w:type="dxa" w:w="15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$1.83</w:t>
            </w:r>
          </w:p>
        </w:tc>
        <w:tc>
          <w:tcPr>
            <w:tcW w:type="dxa" w:w="17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Low</w:t>
            </w:r>
          </w:p>
        </w:tc>
        <w:tc>
          <w:tcPr>
            <w:tcW w:type="dxa" w:w="1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Medium</w:t>
            </w:r>
          </w:p>
        </w:tc>
      </w:tr>
      <w:tr>
        <w:trPr>
          <w:cantSplit/>
        </w:trPr>
        <w:tc>
          <w:tcPr>
            <w:tcW w:type="dxa" w:w="50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Cut CloudWatch log retention 90 to 30 days and move app logs to the Infrequent Access class</w:t>
            </w:r>
          </w:p>
        </w:tc>
        <w:tc>
          <w:tcPr>
            <w:tcW w:type="dxa" w:w="15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$8.63</w:t>
            </w:r>
          </w:p>
        </w:tc>
        <w:tc>
          <w:tcPr>
            <w:tcW w:type="dxa" w:w="17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None</w:t>
            </w:r>
          </w:p>
        </w:tc>
        <w:tc>
          <w:tcPr>
            <w:tcW w:type="dxa" w:w="1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Low</w:t>
            </w:r>
          </w:p>
        </w:tc>
      </w:tr>
      <w:tr>
        <w:trPr>
          <w:cantSplit/>
        </w:trPr>
        <w:tc>
          <w:tcPr>
            <w:tcW w:type="dxa" w:w="50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Turn Container Insights off and rely on Grafana Cloud, which is already paid for and carries the same signals</w:t>
            </w:r>
          </w:p>
        </w:tc>
        <w:tc>
          <w:tcPr>
            <w:tcW w:type="dxa" w:w="15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$16.50</w:t>
            </w:r>
          </w:p>
        </w:tc>
        <w:tc>
          <w:tcPr>
            <w:tcW w:type="dxa" w:w="17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None</w:t>
            </w:r>
          </w:p>
        </w:tc>
        <w:tc>
          <w:tcPr>
            <w:tcW w:type="dxa" w:w="1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Low</w:t>
            </w:r>
          </w:p>
        </w:tc>
      </w:tr>
      <w:tr>
        <w:trPr>
          <w:cantSplit/>
        </w:trPr>
        <w:tc>
          <w:tcPr>
            <w:tcW w:type="dxa" w:w="50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1-year no-upfront Reserved Instances on RDS (-34%) and on the right-sized ElastiCache nodes (-32%)</w:t>
            </w:r>
          </w:p>
        </w:tc>
        <w:tc>
          <w:tcPr>
            <w:tcW w:type="dxa" w:w="15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$73.96</w:t>
            </w:r>
          </w:p>
        </w:tc>
        <w:tc>
          <w:tcPr>
            <w:tcW w:type="dxa" w:w="17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1-year commit</w:t>
            </w:r>
          </w:p>
        </w:tc>
        <w:tc>
          <w:tcPr>
            <w:tcW w:type="dxa" w:w="1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Low</w:t>
            </w:r>
          </w:p>
        </w:tc>
      </w:tr>
      <w:tr>
        <w:trPr>
          <w:cantSplit/>
        </w:trPr>
        <w:tc>
          <w:tcPr>
            <w:tcW w:type="dxa" w:w="50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color w:val="1A1A1A"/>
                <w:sz w:val="18"/>
                <w:szCs w:val="18"/>
              </w:rPr>
              <w:t xml:space="preserve">1-year no-upfront Compute Savings Plan on the Graviton Fargate baseline (-20%)</w:t>
            </w:r>
          </w:p>
        </w:tc>
        <w:tc>
          <w:tcPr>
            <w:tcW w:type="dxa" w:w="156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$20.18</w:t>
            </w:r>
          </w:p>
        </w:tc>
        <w:tc>
          <w:tcPr>
            <w:tcW w:type="dxa" w:w="17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1-year commit</w:t>
            </w:r>
          </w:p>
        </w:tc>
        <w:tc>
          <w:tcPr>
            <w:tcW w:type="dxa" w:w="11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Low</w:t>
            </w:r>
          </w:p>
        </w:tc>
      </w:tr>
      <w:tr>
        <w:trPr>
          <w:cantSplit/>
        </w:trPr>
        <w:tc>
          <w:tcPr>
            <w:tcW w:type="dxa" w:w="50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Total identified saving</w:t>
            </w:r>
          </w:p>
        </w:tc>
        <w:tc>
          <w:tcPr>
            <w:tcW w:type="dxa" w:w="156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$299.69</w:t>
            </w:r>
          </w:p>
        </w:tc>
        <w:tc>
          <w:tcPr>
            <w:tcW w:type="dxa" w:w="17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1F4E5F"/>
                <w:sz w:val="18"/>
                <w:szCs w:val="18"/>
              </w:rPr>
              <w:t xml:space="preserve"/>
            </w:r>
          </w:p>
        </w:tc>
        <w:tc>
          <w:tcPr>
            <w:tcW w:type="dxa" w:w="1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1F4E5F"/>
                <w:sz w:val="18"/>
                <w:szCs w:val="18"/>
              </w:rPr>
              <w:t xml:space="preserve"/>
            </w:r>
          </w:p>
        </w:tc>
      </w:tr>
      <w:tr>
        <w:trPr>
          <w:cantSplit/>
        </w:trPr>
        <w:tc>
          <w:tcPr>
            <w:tcW w:type="dxa" w:w="50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AWS run-rate after all levers</w:t>
            </w:r>
          </w:p>
        </w:tc>
        <w:tc>
          <w:tcPr>
            <w:tcW w:type="dxa" w:w="156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$366.64</w:t>
            </w:r>
          </w:p>
        </w:tc>
        <w:tc>
          <w:tcPr>
            <w:tcW w:type="dxa" w:w="17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1F4E5F"/>
                <w:sz w:val="18"/>
                <w:szCs w:val="18"/>
              </w:rPr>
              <w:t xml:space="preserve"/>
            </w:r>
          </w:p>
        </w:tc>
        <w:tc>
          <w:tcPr>
            <w:tcW w:type="dxa" w:w="1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1F4E5F"/>
                <w:sz w:val="18"/>
                <w:szCs w:val="18"/>
              </w:rPr>
              <w:t xml:space="preserve"/>
            </w:r>
          </w:p>
        </w:tc>
      </w:tr>
      <w:tr>
        <w:trPr>
          <w:cantSplit/>
        </w:trPr>
        <w:tc>
          <w:tcPr>
            <w:tcW w:type="dxa" w:w="50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All-in run-rate after all levers</w:t>
            </w:r>
          </w:p>
        </w:tc>
        <w:tc>
          <w:tcPr>
            <w:tcW w:type="dxa" w:w="156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$994.60</w:t>
            </w:r>
          </w:p>
        </w:tc>
        <w:tc>
          <w:tcPr>
            <w:tcW w:type="dxa" w:w="17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1F4E5F"/>
                <w:sz w:val="18"/>
                <w:szCs w:val="18"/>
              </w:rPr>
              <w:t xml:space="preserve"/>
            </w:r>
          </w:p>
        </w:tc>
        <w:tc>
          <w:tcPr>
            <w:tcW w:type="dxa" w:w="1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1F4E5F"/>
                <w:sz w:val="18"/>
                <w:szCs w:val="18"/>
              </w:rPr>
              <w:t xml:space="preserve"/>
            </w:r>
          </w:p>
        </w:tc>
      </w:tr>
    </w:tbl>
    <w:p>
      <w:pPr>
        <w:spacing w:after="240"/>
      </w:pPr>
      <w:r>
        <w:rPr>
          <w:sz w:val="2"/>
          <w:szCs w:val="2"/>
        </w:rPr>
        <w:t xml:space="preserve"/>
      </w:r>
    </w:p>
    <w:p>
      <w:pPr>
        <w:pStyle w:val="Heading2"/>
        <w:keepNext/>
        <w:spacing w:after="100" w:before="260"/>
      </w:pPr>
      <w:r>
        <w:rPr>
          <w:rFonts w:ascii="Calibri" w:cs="Calibri" w:eastAsia="Calibri" w:hAnsi="Calibri"/>
          <w:b/>
          <w:bCs/>
          <w:color w:val="1A1A1A"/>
          <w:sz w:val="23"/>
          <w:szCs w:val="23"/>
        </w:rPr>
        <w:t xml:space="preserve">7.1 Sequencing</w:t>
      </w:r>
    </w:p>
    <w:p>
      <w:pPr>
        <w:spacing w:after="160" w:before="0" w:line="276"/>
      </w:pPr>
      <w:r>
        <w:rPr>
          <w:rFonts w:ascii="Calibri" w:cs="Calibri" w:eastAsia="Calibri" w:hAnsi="Calibri"/>
          <w:color w:val="1A1A1A"/>
          <w:sz w:val="20"/>
          <w:szCs w:val="20"/>
        </w:rPr>
        <w:t xml:space="preserve">Four of these are free money and should be done before launch. Right-sizing Redis, adding the S3 gateway endpoint, cutting log retention and turning Container Insights off together save $101 a month — bringing AWS spend to $565, a 15 per cent reduction — carry no availability risk, and take under a day of engineering between them.</w:t>
      </w:r>
    </w:p>
    <w:p>
      <w:pPr>
        <w:spacing w:after="160" w:before="0" w:line="276"/>
      </w:pPr>
      <w:r>
        <w:rPr>
          <w:rFonts w:ascii="Calibri" w:cs="Calibri" w:eastAsia="Calibri" w:hAnsi="Calibri"/>
          <w:color w:val="1A1A1A"/>
          <w:sz w:val="20"/>
          <w:szCs w:val="20"/>
        </w:rPr>
        <w:t xml:space="preserve">Two require judgement. Consolidating the NAT Gateways to one saves $77 a month but makes egress single-AZ: if that zone fails, every outbound call to Arkesel, Paystack and WorkOS fails with it. For a payments platform that is a real trade-off, and two gateways rather than one is the defensible middle — half the saving, no single point of failure. Moving Fargate to Graviton saves $25 a month plus a further $20 once a Savings Plan is layered on, but it requires rebuilding every image for ARM and confirming that no native dependency breaks.</w:t>
      </w:r>
    </w:p>
    <w:p>
      <w:pPr>
        <w:spacing w:after="200" w:before="0" w:line="276"/>
      </w:pPr>
      <w:r>
        <w:rPr>
          <w:rFonts w:ascii="Calibri" w:cs="Calibri" w:eastAsia="Calibri" w:hAnsi="Calibri"/>
          <w:color w:val="1A1A1A"/>
          <w:sz w:val="20"/>
          <w:szCs w:val="20"/>
        </w:rPr>
        <w:t xml:space="preserve">Two should wait. Reserved instances and Savings Plans are one-year commitments, and committing to a database class before observing real production load is how organisations end up paying for the wrong instance family for twelve months. Take these at the end of the first quarter, once the sizing has been validated against actual traffic — and take them only on the right-sized footprint, not the launch footprint, or the commitment locks in the over-provisioning this section removes.</w:t>
      </w:r>
    </w:p>
    <w:tbl>
      <w:tblPr>
        <w:tblW w:type="dxa" w:w="9360"/>
        <w:tblBorders>
          <w:top w:val="none"/>
          <w:left w:val="none"/>
          <w:bottom w:val="none"/>
          <w:right w:val="none"/>
          <w:insideH w:val="none"/>
          <w:insideV w:val="none"/>
        </w:tblBorders>
      </w:tblPr>
      <w:tblGrid>
        <w:gridCol w:w="60"/>
        <w:gridCol w:w="9300"/>
      </w:tblGrid>
      <w:tr>
        <w:trPr>
          <w:cantSplit/>
        </w:trPr>
        <w:tc>
          <w:tcPr>
            <w:tcW w:type="dxa" w:w="60"/>
            <w:tcBorders>
              <w:top w:val="none"/>
              <w:left w:val="none"/>
              <w:bottom w:val="none"/>
              <w:right w:val="none"/>
            </w:tcBorders>
            <w:shd w:fill="1F4E5F" w:color="auto" w:val="clear"/>
            <w:tcMar>
              <w:top w:type="dxa" w:w="0"/>
              <w:left w:type="dxa" w:w="0"/>
              <w:bottom w:type="dxa" w:w="0"/>
              <w:right w:type="dxa" w:w="0"/>
            </w:tcMar>
          </w:tcPr>
          <w:p>
            <w:r>
              <w:rPr>
                <w:sz w:val="2"/>
                <w:szCs w:val="2"/>
              </w:rPr>
              <w:t xml:space="preserve"/>
            </w:r>
          </w:p>
        </w:tc>
        <w:tc>
          <w:tcPr>
            <w:tcW w:type="dxa" w:w="9300"/>
            <w:tcBorders>
              <w:top w:val="none"/>
              <w:left w:val="none"/>
              <w:bottom w:val="none"/>
              <w:right w:val="none"/>
            </w:tcBorders>
            <w:shd w:fill="E8F0F2" w:color="auto" w:val="clear"/>
            <w:tcMar>
              <w:top w:type="dxa" w:w="150"/>
              <w:left w:type="dxa" w:w="200"/>
              <w:bottom w:type="dxa" w:w="150"/>
              <w:right w:type="dxa" w:w="200"/>
            </w:tcMar>
          </w:tcPr>
          <w:p>
            <w:pPr>
              <w:spacing w:after="60"/>
            </w:pPr>
            <w:r>
              <w:rPr>
                <w:rFonts w:ascii="Calibri" w:cs="Calibri" w:eastAsia="Calibri" w:hAnsi="Calibri"/>
                <w:b/>
                <w:bCs/>
                <w:caps/>
                <w:color w:val="1F4E5F"/>
                <w:spacing w:val="10"/>
                <w:sz w:val="19"/>
                <w:szCs w:val="19"/>
              </w:rPr>
              <w:t xml:space="preserve">Sequencing note</w:t>
            </w:r>
          </w:p>
          <w:p>
            <w:pPr>
              <w:spacing w:after="0" w:line="276"/>
            </w:pPr>
            <w:r>
              <w:rPr>
                <w:rFonts w:ascii="Calibri" w:cs="Calibri" w:eastAsia="Calibri" w:hAnsi="Calibri"/>
                <w:b/>
                <w:bCs/>
                <w:color w:val="1A1A1A"/>
                <w:sz w:val="19"/>
                <w:szCs w:val="19"/>
              </w:rPr>
              <w:t xml:space="preserve">Order matters more than the individual figures. </w:t>
            </w:r>
            <w:r>
              <w:rPr>
                <w:rFonts w:ascii="Calibri" w:cs="Calibri" w:eastAsia="Calibri" w:hAnsi="Calibri"/>
                <w:color w:val="1A1A1A"/>
                <w:sz w:val="19"/>
                <w:szCs w:val="19"/>
              </w:rPr>
              <w:t xml:space="preserve">Buying a reserved instance before right-sizing commits Fabric for a year to capacity §7 has just shown to be unnecessary — which is why the Redis right-sizing lever is listed first and the reservation discount in this table is calculated on the right-sized node count, not the current one.</w:t>
            </w:r>
          </w:p>
        </w:tc>
      </w:tr>
    </w:tbl>
    <w:p>
      <w:pPr>
        <w:spacing w:after="200"/>
      </w:pPr>
      <w:r>
        <w:rPr>
          <w:sz w:val="2"/>
          <w:szCs w:val="2"/>
        </w:rPr>
        <w:t xml:space="preserve"/>
      </w:r>
    </w:p>
    <w:p>
      <w:pPr>
        <w:pStyle w:val="Heading1"/>
        <w:keepNext/>
        <w:pBdr>
          <w:bottom w:val="single" w:color="1F4E5F" w:sz="8" w:space="6"/>
        </w:pBdr>
        <w:spacing w:after="160" w:before="360"/>
      </w:pPr>
      <w:r>
        <w:rPr>
          <w:rFonts w:ascii="Calibri" w:cs="Calibri" w:eastAsia="Calibri" w:hAnsi="Calibri"/>
          <w:b/>
          <w:bCs/>
          <w:color w:val="1F4E5F"/>
          <w:sz w:val="30"/>
          <w:szCs w:val="30"/>
        </w:rPr>
        <w:t xml:space="preserve">8. Third-party vendors</w:t>
      </w:r>
    </w:p>
    <w:p>
      <w:pPr>
        <w:spacing w:after="200" w:before="0" w:line="276"/>
      </w:pPr>
      <w:r>
        <w:rPr>
          <w:rFonts w:ascii="Calibri" w:cs="Calibri" w:eastAsia="Calibri" w:hAnsi="Calibri"/>
          <w:color w:val="1A1A1A"/>
          <w:sz w:val="20"/>
          <w:szCs w:val="20"/>
        </w:rPr>
        <w:t xml:space="preserve">Fabric depends on five external vendors in the production path and three more that are testing-only. The striking result is how little the production vendors cost: $45 a month in fixed subscriptions, because the two largest — identity and payments — have no platform fee at all.</w:t>
      </w:r>
    </w:p>
    <w:p>
      <w:pPr>
        <w:pStyle w:val="Heading2"/>
        <w:keepNext/>
        <w:spacing w:after="100" w:before="260"/>
      </w:pPr>
      <w:r>
        <w:rPr>
          <w:rFonts w:ascii="Calibri" w:cs="Calibri" w:eastAsia="Calibri" w:hAnsi="Calibri"/>
          <w:b/>
          <w:bCs/>
          <w:color w:val="1A1A1A"/>
          <w:sz w:val="23"/>
          <w:szCs w:val="23"/>
        </w:rPr>
        <w:t xml:space="preserve">8.1 Fixed subscriptions</w:t>
      </w:r>
    </w:p>
    <w:tbl>
      <w:tblPr>
        <w:tblW w:type="dxa" w:w="9360"/>
        <w:tblBorders>
          <w:top w:val="none"/>
          <w:left w:val="none"/>
          <w:bottom w:val="none"/>
          <w:right w:val="none"/>
          <w:insideH w:val="none"/>
          <w:insideV w:val="none"/>
        </w:tblBorders>
      </w:tblPr>
      <w:tblGrid>
        <w:gridCol w:w="1900"/>
        <w:gridCol w:w="2200"/>
        <w:gridCol w:w="2100"/>
        <w:gridCol w:w="1400"/>
        <w:gridCol w:w="1760"/>
      </w:tblGrid>
      <w:tr>
        <w:trPr>
          <w:cantSplit/>
          <w:tblHeader/>
        </w:trPr>
        <w:tc>
          <w:tcPr>
            <w:tcW w:type="dxa" w:w="19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Vendor</w:t>
            </w:r>
          </w:p>
        </w:tc>
        <w:tc>
          <w:tcPr>
            <w:tcW w:type="dxa" w:w="22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Role</w:t>
            </w:r>
          </w:p>
        </w:tc>
        <w:tc>
          <w:tcPr>
            <w:tcW w:type="dxa" w:w="21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Plan</w:t>
            </w:r>
          </w:p>
        </w:tc>
        <w:tc>
          <w:tcPr>
            <w:tcW w:type="dxa" w:w="14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aps/>
                <w:color w:val="FFFFFF"/>
                <w:spacing w:val="10"/>
                <w:sz w:val="15"/>
                <w:szCs w:val="15"/>
              </w:rPr>
              <w:t xml:space="preserve">USD / month</w:t>
            </w:r>
          </w:p>
        </w:tc>
        <w:tc>
          <w:tcPr>
            <w:tcW w:type="dxa" w:w="176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Notes</w:t>
            </w:r>
          </w:p>
        </w:tc>
      </w:tr>
      <w:tr>
        <w:trPr>
          <w:cantSplit/>
        </w:trPr>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WorkOS</w:t>
            </w:r>
          </w:p>
        </w:tc>
        <w:tc>
          <w:tcPr>
            <w:tcW w:type="dxa" w:w="22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Identity engine</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Pay-as-you-go</w:t>
            </w:r>
          </w:p>
        </w:tc>
        <w:tc>
          <w:tcPr>
            <w:tcW w:type="dxa" w:w="14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w:t>
            </w:r>
          </w:p>
        </w:tc>
        <w:tc>
          <w:tcPr>
            <w:tcW w:type="dxa" w:w="1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1,000,000 MAU free</w:t>
            </w:r>
          </w:p>
        </w:tc>
      </w:tr>
      <w:tr>
        <w:trPr>
          <w:cantSplit/>
        </w:trPr>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Grafana Cloud</w:t>
            </w:r>
          </w:p>
        </w:tc>
        <w:tc>
          <w:tcPr>
            <w:tcW w:type="dxa" w:w="2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Metrics, logs, traces</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Pro</w:t>
            </w:r>
          </w:p>
        </w:tc>
        <w:tc>
          <w:tcPr>
            <w:tcW w:type="dxa" w:w="1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$19.00</w:t>
            </w:r>
          </w:p>
        </w:tc>
        <w:tc>
          <w:tcPr>
            <w:tcW w:type="dxa" w:w="1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Free-tier allowances cover launch</w:t>
            </w:r>
          </w:p>
        </w:tc>
      </w:tr>
      <w:tr>
        <w:trPr>
          <w:cantSplit/>
        </w:trPr>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Sentry</w:t>
            </w:r>
          </w:p>
        </w:tc>
        <w:tc>
          <w:tcPr>
            <w:tcW w:type="dxa" w:w="22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Errors, performance</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Team</w:t>
            </w:r>
          </w:p>
        </w:tc>
        <w:tc>
          <w:tcPr>
            <w:tcW w:type="dxa" w:w="14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$26.00</w:t>
            </w:r>
          </w:p>
        </w:tc>
        <w:tc>
          <w:tcPr>
            <w:tcW w:type="dxa" w:w="1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Annual billing</w:t>
            </w:r>
          </w:p>
        </w:tc>
      </w:tr>
      <w:tr>
        <w:trPr>
          <w:cantSplit/>
        </w:trPr>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Infisical</w:t>
            </w:r>
          </w:p>
        </w:tc>
        <w:tc>
          <w:tcPr>
            <w:tcW w:type="dxa" w:w="2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Local dev secrets</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Free</w:t>
            </w:r>
          </w:p>
        </w:tc>
        <w:tc>
          <w:tcPr>
            <w:tcW w:type="dxa" w:w="1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w:t>
            </w:r>
          </w:p>
        </w:tc>
        <w:tc>
          <w:tcPr>
            <w:tcW w:type="dxa" w:w="1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5 identities</w:t>
            </w:r>
          </w:p>
        </w:tc>
      </w:tr>
      <w:tr>
        <w:trPr>
          <w:cantSplit/>
        </w:trPr>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Paystack</w:t>
            </w:r>
          </w:p>
        </w:tc>
        <w:tc>
          <w:tcPr>
            <w:tcW w:type="dxa" w:w="22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Payments</w:t>
            </w:r>
          </w:p>
        </w:tc>
        <w:tc>
          <w:tcPr>
            <w:tcW w:type="dxa" w:w="21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w:t>
            </w:r>
          </w:p>
        </w:tc>
        <w:tc>
          <w:tcPr>
            <w:tcW w:type="dxa" w:w="14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w:t>
            </w:r>
          </w:p>
        </w:tc>
        <w:tc>
          <w:tcPr>
            <w:tcW w:type="dxa" w:w="1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Per-transaction only</w:t>
            </w:r>
          </w:p>
        </w:tc>
      </w:tr>
      <w:tr>
        <w:trPr>
          <w:cantSplit/>
        </w:trPr>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Arkesel</w:t>
            </w:r>
          </w:p>
        </w:tc>
        <w:tc>
          <w:tcPr>
            <w:tcW w:type="dxa" w:w="2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SMS gateway</w:t>
            </w:r>
          </w:p>
        </w:tc>
        <w:tc>
          <w:tcPr>
            <w:tcW w:type="dxa" w:w="21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w:t>
            </w:r>
          </w:p>
        </w:tc>
        <w:tc>
          <w:tcPr>
            <w:tcW w:type="dxa" w:w="1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w:t>
            </w:r>
          </w:p>
        </w:tc>
        <w:tc>
          <w:tcPr>
            <w:tcW w:type="dxa" w:w="1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Prepaid credit only</w:t>
            </w:r>
          </w:p>
        </w:tc>
      </w:tr>
      <w:tr>
        <w:trPr>
          <w:cantSplit/>
        </w:trPr>
        <w:tc>
          <w:tcPr>
            <w:tcW w:type="dxa" w:w="19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Total fixed vendor cost</w:t>
            </w:r>
          </w:p>
        </w:tc>
        <w:tc>
          <w:tcPr>
            <w:tcW w:type="dxa" w:w="22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
            </w:r>
          </w:p>
        </w:tc>
        <w:tc>
          <w:tcPr>
            <w:tcW w:type="dxa" w:w="21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
            </w:r>
          </w:p>
        </w:tc>
        <w:tc>
          <w:tcPr>
            <w:tcW w:type="dxa" w:w="140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olor w:val="1F4E5F"/>
                <w:sz w:val="18"/>
                <w:szCs w:val="18"/>
              </w:rPr>
              <w:t xml:space="preserve">$45.00</w:t>
            </w:r>
          </w:p>
        </w:tc>
        <w:tc>
          <w:tcPr>
            <w:tcW w:type="dxa" w:w="1760"/>
            <w:tcBorders>
              <w:top w:val="none"/>
              <w:left w:val="none"/>
              <w:bottom w:val="single" w:color="C9D1D6" w:sz="8"/>
              <w:right w:val="none"/>
            </w:tcBorders>
            <w:shd w:fill="E8F0F2" w:color="auto" w:val="clear"/>
            <w:tcMar>
              <w:top w:type="dxa" w:w="70"/>
              <w:left w:type="dxa" w:w="110"/>
              <w:bottom w:type="dxa" w:w="70"/>
              <w:right w:type="dxa" w:w="110"/>
            </w:tcMar>
            <w:vAlign w:val="center"/>
          </w:tcPr>
          <w:p>
            <w:pPr>
              <w:spacing w:after="0" w:line="260"/>
            </w:pPr>
            <w:r>
              <w:rPr>
                <w:rFonts w:ascii="Calibri" w:cs="Calibri" w:eastAsia="Calibri" w:hAnsi="Calibri"/>
                <w:b/>
                <w:bCs/>
                <w:color w:val="1F4E5F"/>
                <w:sz w:val="18"/>
                <w:szCs w:val="18"/>
              </w:rPr>
              <w:t xml:space="preserve"/>
            </w:r>
          </w:p>
        </w:tc>
      </w:tr>
    </w:tbl>
    <w:p>
      <w:pPr>
        <w:spacing w:after="240"/>
      </w:pPr>
      <w:r>
        <w:rPr>
          <w:sz w:val="2"/>
          <w:szCs w:val="2"/>
        </w:rPr>
        <w:t xml:space="preserve"/>
      </w:r>
    </w:p>
    <w:p>
      <w:pPr>
        <w:pStyle w:val="Heading2"/>
        <w:keepNext/>
        <w:spacing w:after="100" w:before="260"/>
      </w:pPr>
      <w:r>
        <w:rPr>
          <w:rFonts w:ascii="Calibri" w:cs="Calibri" w:eastAsia="Calibri" w:hAnsi="Calibri"/>
          <w:b/>
          <w:bCs/>
          <w:color w:val="1A1A1A"/>
          <w:sz w:val="23"/>
          <w:szCs w:val="23"/>
        </w:rPr>
        <w:t xml:space="preserve">8.2 Variable and pass-through costs</w:t>
      </w:r>
    </w:p>
    <w:p>
      <w:pPr>
        <w:spacing w:after="160" w:before="0" w:line="276"/>
      </w:pPr>
      <w:r>
        <w:rPr>
          <w:rFonts w:ascii="Calibri" w:cs="Calibri" w:eastAsia="Calibri" w:hAnsi="Calibri"/>
          <w:color w:val="1A1A1A"/>
          <w:sz w:val="20"/>
          <w:szCs w:val="20"/>
        </w:rPr>
        <w:t xml:space="preserve">These scale with business volume rather than with infrastructure, and two of the three are recovered from the transacting party rather than absorbed.</w:t>
      </w:r>
    </w:p>
    <w:tbl>
      <w:tblPr>
        <w:tblW w:type="dxa" w:w="9360"/>
        <w:tblBorders>
          <w:top w:val="none"/>
          <w:left w:val="none"/>
          <w:bottom w:val="none"/>
          <w:right w:val="none"/>
          <w:insideH w:val="none"/>
          <w:insideV w:val="none"/>
        </w:tblBorders>
      </w:tblPr>
      <w:tblGrid>
        <w:gridCol w:w="2500"/>
        <w:gridCol w:w="3200"/>
        <w:gridCol w:w="1900"/>
        <w:gridCol w:w="1760"/>
      </w:tblGrid>
      <w:tr>
        <w:trPr>
          <w:cantSplit/>
          <w:tblHeader/>
        </w:trPr>
        <w:tc>
          <w:tcPr>
            <w:tcW w:type="dxa" w:w="25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Cost</w:t>
            </w:r>
          </w:p>
        </w:tc>
        <w:tc>
          <w:tcPr>
            <w:tcW w:type="dxa" w:w="32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Rate</w:t>
            </w:r>
          </w:p>
        </w:tc>
        <w:tc>
          <w:tcPr>
            <w:tcW w:type="dxa" w:w="19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aps/>
                <w:color w:val="FFFFFF"/>
                <w:spacing w:val="10"/>
                <w:sz w:val="15"/>
                <w:szCs w:val="15"/>
              </w:rPr>
              <w:t xml:space="preserve">At scenario B</w:t>
            </w:r>
          </w:p>
        </w:tc>
        <w:tc>
          <w:tcPr>
            <w:tcW w:type="dxa" w:w="176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Recovered from</w:t>
            </w:r>
          </w:p>
        </w:tc>
      </w:tr>
      <w:tr>
        <w:trPr>
          <w:cantSplit/>
        </w:trPr>
        <w:tc>
          <w:tcPr>
            <w:tcW w:type="dxa" w:w="2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Arkesel SMS, Ghana</w:t>
            </w:r>
          </w:p>
        </w:tc>
        <w:tc>
          <w:tcPr>
            <w:tcW w:type="dxa" w:w="32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GHS 0.0219 per SMS — the GHS 5,000 bundle tier — at GHS 11.27 to the dollar</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$582.96</w:t>
            </w:r>
          </w:p>
        </w:tc>
        <w:tc>
          <w:tcPr>
            <w:tcW w:type="dxa" w:w="1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Tenant</w:t>
            </w:r>
          </w:p>
        </w:tc>
      </w:tr>
      <w:tr>
        <w:trPr>
          <w:cantSplit/>
        </w:trPr>
        <w:tc>
          <w:tcPr>
            <w:tcW w:type="dxa" w:w="2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Arkesel OTP verification</w:t>
            </w:r>
          </w:p>
        </w:tc>
        <w:tc>
          <w:tcPr>
            <w:tcW w:type="dxa" w:w="3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GHS 0.035 per verification, SMS or USSD</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Volume-dependent</w:t>
            </w:r>
          </w:p>
        </w:tc>
        <w:tc>
          <w:tcPr>
            <w:tcW w:type="dxa" w:w="1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Tenant</w:t>
            </w:r>
          </w:p>
        </w:tc>
      </w:tr>
      <w:tr>
        <w:trPr>
          <w:cantSplit/>
        </w:trPr>
        <w:tc>
          <w:tcPr>
            <w:tcW w:type="dxa" w:w="2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Paystack, Ghana</w:t>
            </w:r>
          </w:p>
        </w:tc>
        <w:tc>
          <w:tcPr>
            <w:tcW w:type="dxa" w:w="32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1.95% of transaction value, cards and mobile money</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Transaction-dependent</w:t>
            </w:r>
          </w:p>
        </w:tc>
        <w:tc>
          <w:tcPr>
            <w:tcW w:type="dxa" w:w="1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Payer or merchant</w:t>
            </w:r>
          </w:p>
        </w:tc>
      </w:tr>
      <w:tr>
        <w:trPr>
          <w:cantSplit/>
        </w:trPr>
        <w:tc>
          <w:tcPr>
            <w:tcW w:type="dxa" w:w="2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Paystack, Nigeria</w:t>
            </w:r>
          </w:p>
        </w:tc>
        <w:tc>
          <w:tcPr>
            <w:tcW w:type="dxa" w:w="3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1.5% + ₦100, capped at ₦2,000; ₦100 waived below ₦2,500</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Transaction-dependent</w:t>
            </w:r>
          </w:p>
        </w:tc>
        <w:tc>
          <w:tcPr>
            <w:tcW w:type="dxa" w:w="1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Payer or merchant</w:t>
            </w:r>
          </w:p>
        </w:tc>
      </w:tr>
      <w:tr>
        <w:trPr>
          <w:cantSplit/>
        </w:trPr>
        <w:tc>
          <w:tcPr>
            <w:tcW w:type="dxa" w:w="2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Paystack payouts, Ghana</w:t>
            </w:r>
          </w:p>
        </w:tc>
        <w:tc>
          <w:tcPr>
            <w:tcW w:type="dxa" w:w="32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GHS 1 to mobile money, GHS 8 to bank account</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Transaction-dependent</w:t>
            </w:r>
          </w:p>
        </w:tc>
        <w:tc>
          <w:tcPr>
            <w:tcW w:type="dxa" w:w="1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Merchant</w:t>
            </w:r>
          </w:p>
        </w:tc>
      </w:tr>
      <w:tr>
        <w:trPr>
          <w:cantSplit/>
        </w:trPr>
        <w:tc>
          <w:tcPr>
            <w:tcW w:type="dxa" w:w="2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WorkOS Enterprise SSO</w:t>
            </w:r>
          </w:p>
        </w:tc>
        <w:tc>
          <w:tcPr>
            <w:tcW w:type="dxa" w:w="3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$125 per connection per month, tiered down to $65 above 50</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 at launch</w:t>
            </w:r>
          </w:p>
        </w:tc>
        <w:tc>
          <w:tcPr>
            <w:tcW w:type="dxa" w:w="1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Enterprise tenant</w:t>
            </w:r>
          </w:p>
        </w:tc>
      </w:tr>
    </w:tbl>
    <w:p>
      <w:pPr>
        <w:spacing w:after="200"/>
      </w:pPr>
      <w:r>
        <w:rPr>
          <w:sz w:val="2"/>
          <w:szCs w:val="2"/>
        </w:rPr>
        <w:t xml:space="preserve"/>
      </w:r>
    </w:p>
    <w:tbl>
      <w:tblPr>
        <w:tblW w:type="dxa" w:w="9360"/>
        <w:tblBorders>
          <w:top w:val="none"/>
          <w:left w:val="none"/>
          <w:bottom w:val="none"/>
          <w:right w:val="none"/>
          <w:insideH w:val="none"/>
          <w:insideV w:val="none"/>
        </w:tblBorders>
      </w:tblPr>
      <w:tblGrid>
        <w:gridCol w:w="60"/>
        <w:gridCol w:w="9300"/>
      </w:tblGrid>
      <w:tr>
        <w:trPr>
          <w:cantSplit/>
        </w:trPr>
        <w:tc>
          <w:tcPr>
            <w:tcW w:type="dxa" w:w="60"/>
            <w:tcBorders>
              <w:top w:val="none"/>
              <w:left w:val="none"/>
              <w:bottom w:val="none"/>
              <w:right w:val="none"/>
            </w:tcBorders>
            <w:shd w:fill="8A3A2E" w:color="auto" w:val="clear"/>
            <w:tcMar>
              <w:top w:type="dxa" w:w="0"/>
              <w:left w:type="dxa" w:w="0"/>
              <w:bottom w:type="dxa" w:w="0"/>
              <w:right w:type="dxa" w:w="0"/>
            </w:tcMar>
          </w:tcPr>
          <w:p>
            <w:r>
              <w:rPr>
                <w:sz w:val="2"/>
                <w:szCs w:val="2"/>
              </w:rPr>
              <w:t xml:space="preserve"/>
            </w:r>
          </w:p>
        </w:tc>
        <w:tc>
          <w:tcPr>
            <w:tcW w:type="dxa" w:w="9300"/>
            <w:tcBorders>
              <w:top w:val="none"/>
              <w:left w:val="none"/>
              <w:bottom w:val="none"/>
              <w:right w:val="none"/>
            </w:tcBorders>
            <w:shd w:fill="FBF0EE" w:color="auto" w:val="clear"/>
            <w:tcMar>
              <w:top w:type="dxa" w:w="150"/>
              <w:left w:type="dxa" w:w="200"/>
              <w:bottom w:type="dxa" w:w="150"/>
              <w:right w:type="dxa" w:w="200"/>
            </w:tcMar>
          </w:tcPr>
          <w:p>
            <w:pPr>
              <w:spacing w:after="60"/>
            </w:pPr>
            <w:r>
              <w:rPr>
                <w:rFonts w:ascii="Calibri" w:cs="Calibri" w:eastAsia="Calibri" w:hAnsi="Calibri"/>
                <w:b/>
                <w:bCs/>
                <w:caps/>
                <w:color w:val="8A3A2E"/>
                <w:spacing w:val="10"/>
                <w:sz w:val="19"/>
                <w:szCs w:val="19"/>
              </w:rPr>
              <w:t xml:space="preserve">Foreign exchange exposure</w:t>
            </w:r>
          </w:p>
          <w:p>
            <w:pPr>
              <w:spacing w:after="90" w:line="276"/>
            </w:pPr>
            <w:r>
              <w:rPr>
                <w:rFonts w:ascii="Calibri" w:cs="Calibri" w:eastAsia="Calibri" w:hAnsi="Calibri"/>
                <w:color w:val="1A1A1A"/>
                <w:sz w:val="19"/>
                <w:szCs w:val="19"/>
              </w:rPr>
              <w:t xml:space="preserve">Arkesel prices in cedis; this document reports dollars. The conversion uses GHS 11.27 to the dollar as at 2 September 2026, and the cedi has traded between 10.47 and 11.82 during the year. </w:t>
            </w:r>
            <w:r>
              <w:rPr>
                <w:rFonts w:ascii="Calibri" w:cs="Calibri" w:eastAsia="Calibri" w:hAnsi="Calibri"/>
                <w:color w:val="1A1A1A"/>
                <w:sz w:val="19"/>
                <w:szCs w:val="19"/>
              </w:rPr>
              <w:t xml:space="preserve">The exposure runs the opposite way to intuition: a </w:t>
            </w:r>
            <w:r>
              <w:rPr>
                <w:rFonts w:ascii="Calibri" w:cs="Calibri" w:eastAsia="Calibri" w:hAnsi="Calibri"/>
                <w:i/>
                <w:iCs/>
                <w:color w:val="1A1A1A"/>
                <w:sz w:val="19"/>
                <w:szCs w:val="19"/>
              </w:rPr>
              <w:t xml:space="preserve">stronger</w:t>
            </w:r>
            <w:r>
              <w:rPr>
                <w:rFonts w:ascii="Calibri" w:cs="Calibri" w:eastAsia="Calibri" w:hAnsi="Calibri"/>
                <w:color w:val="1A1A1A"/>
                <w:sz w:val="19"/>
                <w:szCs w:val="19"/>
              </w:rPr>
              <w:t xml:space="preserve"> cedi costs Fabric more dollars for the same messages.</w:t>
            </w:r>
          </w:p>
          <w:p>
            <w:pPr>
              <w:spacing w:after="0" w:line="276"/>
            </w:pPr>
            <w:r>
              <w:rPr>
                <w:rFonts w:ascii="Calibri" w:cs="Calibri" w:eastAsia="Calibri" w:hAnsi="Calibri"/>
                <w:color w:val="1A1A1A"/>
                <w:sz w:val="19"/>
                <w:szCs w:val="19"/>
              </w:rPr>
              <w:t xml:space="preserve">At GHS 10.47 the scenario B SMS line is </w:t>
            </w:r>
            <w:r>
              <w:rPr>
                <w:rFonts w:ascii="Calibri" w:cs="Calibri" w:eastAsia="Calibri" w:hAnsi="Calibri"/>
                <w:b/>
                <w:bCs/>
                <w:color w:val="1A1A1A"/>
                <w:sz w:val="19"/>
                <w:szCs w:val="19"/>
              </w:rPr>
              <w:t xml:space="preserve">$628</w:t>
            </w:r>
            <w:r>
              <w:rPr>
                <w:rFonts w:ascii="Calibri" w:cs="Calibri" w:eastAsia="Calibri" w:hAnsi="Calibri"/>
                <w:color w:val="1A1A1A"/>
                <w:sz w:val="19"/>
                <w:szCs w:val="19"/>
              </w:rPr>
              <w:t xml:space="preserve"> rather than </w:t>
            </w:r>
            <w:r>
              <w:rPr>
                <w:rFonts w:ascii="Calibri" w:cs="Calibri" w:eastAsia="Calibri" w:hAnsi="Calibri"/>
                <w:b/>
                <w:bCs/>
                <w:color w:val="1A1A1A"/>
                <w:sz w:val="19"/>
                <w:szCs w:val="19"/>
              </w:rPr>
              <w:t xml:space="preserve">$583</w:t>
            </w:r>
            <w:r>
              <w:rPr>
                <w:rFonts w:ascii="Calibri" w:cs="Calibri" w:eastAsia="Calibri" w:hAnsi="Calibri"/>
                <w:color w:val="1A1A1A"/>
                <w:sz w:val="19"/>
                <w:szCs w:val="19"/>
              </w:rPr>
              <w:t xml:space="preserve">, an increase of </w:t>
            </w:r>
            <w:r>
              <w:rPr>
                <w:rFonts w:ascii="Calibri" w:cs="Calibri" w:eastAsia="Calibri" w:hAnsi="Calibri"/>
                <w:b/>
                <w:bCs/>
                <w:color w:val="1A1A1A"/>
                <w:sz w:val="19"/>
                <w:szCs w:val="19"/>
              </w:rPr>
              <w:t xml:space="preserve">$45</w:t>
            </w:r>
            <w:r>
              <w:rPr>
                <w:rFonts w:ascii="Calibri" w:cs="Calibri" w:eastAsia="Calibri" w:hAnsi="Calibri"/>
                <w:color w:val="1A1A1A"/>
                <w:sz w:val="19"/>
                <w:szCs w:val="19"/>
              </w:rPr>
              <w:t xml:space="preserve"> a month on unchanged volume. At GHS 11.82 it falls to </w:t>
            </w:r>
            <w:r>
              <w:rPr>
                <w:rFonts w:ascii="Calibri" w:cs="Calibri" w:eastAsia="Calibri" w:hAnsi="Calibri"/>
                <w:b/>
                <w:bCs/>
                <w:color w:val="1A1A1A"/>
                <w:sz w:val="19"/>
                <w:szCs w:val="19"/>
              </w:rPr>
              <w:t xml:space="preserve">$556</w:t>
            </w:r>
            <w:r>
              <w:rPr>
                <w:rFonts w:ascii="Calibri" w:cs="Calibri" w:eastAsia="Calibri" w:hAnsi="Calibri"/>
                <w:color w:val="1A1A1A"/>
                <w:sz w:val="19"/>
                <w:szCs w:val="19"/>
              </w:rPr>
              <w:t xml:space="preserve">. Any per-message price Fabric quotes to tenants should therefore be denominated in cedis, or repriced quarterly.</w:t>
            </w:r>
          </w:p>
        </w:tc>
      </w:tr>
    </w:tbl>
    <w:p>
      <w:pPr>
        <w:spacing w:after="200"/>
      </w:pPr>
      <w:r>
        <w:rPr>
          <w:sz w:val="2"/>
          <w:szCs w:val="2"/>
        </w:rPr>
        <w:t xml:space="preserve"/>
      </w:r>
    </w:p>
    <w:p>
      <w:pPr>
        <w:pStyle w:val="Heading2"/>
        <w:keepNext/>
        <w:spacing w:after="100" w:before="260"/>
      </w:pPr>
      <w:r>
        <w:rPr>
          <w:rFonts w:ascii="Calibri" w:cs="Calibri" w:eastAsia="Calibri" w:hAnsi="Calibri"/>
          <w:b/>
          <w:bCs/>
          <w:color w:val="1A1A1A"/>
          <w:sz w:val="23"/>
          <w:szCs w:val="23"/>
        </w:rPr>
        <w:t xml:space="preserve">8.3 Testing-stack vendors, for reference</w:t>
      </w:r>
    </w:p>
    <w:p>
      <w:pPr>
        <w:spacing w:after="160" w:before="0" w:line="276"/>
      </w:pPr>
      <w:r>
        <w:rPr>
          <w:rFonts w:ascii="Calibri" w:cs="Calibri" w:eastAsia="Calibri" w:hAnsi="Calibri"/>
          <w:color w:val="1A1A1A"/>
          <w:sz w:val="20"/>
          <w:szCs w:val="20"/>
        </w:rPr>
        <w:t xml:space="preserve">The current testing environment runs on free tiers of Vercel, Render and Neon at $0 a month. Those tiers carry real constraints — Render's free service sleeps after 15 minutes with a wake time of about a minute, its free Postgres is deleted 30 days after creation, Vercel's Hobby plan forbids commercial use, and Neon's free plan suspends compute at 100 compute-hours. Keeping testing on paid tiers of the same stack would cost roughly $70 a month (Vercel Pro $20, Render Pro $25 plus $7 compute, Neon pay-as-you-go). That is materially cheaper than a second AWS environment and is worth considering on its own merits.</w:t>
      </w:r>
    </w:p>
    <w:p>
      <w:pPr>
        <w:spacing w:after="200"/>
      </w:pPr>
      <w:r>
        <w:rPr>
          <w:sz w:val="2"/>
          <w:szCs w:val="2"/>
        </w:rPr>
        <w:t xml:space="preserve"/>
      </w:r>
    </w:p>
    <w:p>
      <w:pPr>
        <w:pStyle w:val="Heading1"/>
        <w:keepNext/>
        <w:pBdr>
          <w:bottom w:val="single" w:color="1F4E5F" w:sz="8" w:space="6"/>
        </w:pBdr>
        <w:spacing w:after="160" w:before="360"/>
      </w:pPr>
      <w:r>
        <w:rPr>
          <w:rFonts w:ascii="Calibri" w:cs="Calibri" w:eastAsia="Calibri" w:hAnsi="Calibri"/>
          <w:b/>
          <w:bCs/>
          <w:color w:val="1F4E5F"/>
          <w:sz w:val="30"/>
          <w:szCs w:val="30"/>
        </w:rPr>
        <w:t xml:space="preserve">9. Gaps and unmodelled costs</w:t>
      </w:r>
    </w:p>
    <w:p>
      <w:pPr>
        <w:spacing w:after="200" w:before="0" w:line="276"/>
      </w:pPr>
      <w:r>
        <w:rPr>
          <w:rFonts w:ascii="Calibri" w:cs="Calibri" w:eastAsia="Calibri" w:hAnsi="Calibri"/>
          <w:color w:val="1A1A1A"/>
          <w:sz w:val="20"/>
          <w:szCs w:val="20"/>
        </w:rPr>
        <w:t xml:space="preserve">The platform's own architecture documents specify infrastructure that appears in no Terraform file. Each item below is a real future cost, and together they are the largest source of upward pressure on this estimate — considerably larger than any uncertainty in the unit rates.</w:t>
      </w:r>
    </w:p>
    <w:tbl>
      <w:tblPr>
        <w:tblW w:type="dxa" w:w="9360"/>
        <w:tblBorders>
          <w:top w:val="none"/>
          <w:left w:val="none"/>
          <w:bottom w:val="none"/>
          <w:right w:val="none"/>
          <w:insideH w:val="none"/>
          <w:insideV w:val="none"/>
        </w:tblBorders>
      </w:tblPr>
      <w:tblGrid>
        <w:gridCol w:w="4200"/>
        <w:gridCol w:w="2200"/>
        <w:gridCol w:w="2960"/>
      </w:tblGrid>
      <w:tr>
        <w:trPr>
          <w:cantSplit/>
          <w:tblHeader/>
        </w:trPr>
        <w:tc>
          <w:tcPr>
            <w:tcW w:type="dxa" w:w="42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Required by the architecture documents, or prudent for production</w:t>
            </w:r>
          </w:p>
        </w:tc>
        <w:tc>
          <w:tcPr>
            <w:tcW w:type="dxa" w:w="22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aps/>
                <w:color w:val="FFFFFF"/>
                <w:spacing w:val="10"/>
                <w:sz w:val="15"/>
                <w:szCs w:val="15"/>
              </w:rPr>
              <w:t xml:space="preserve">Indicative cost</w:t>
            </w:r>
          </w:p>
        </w:tc>
        <w:tc>
          <w:tcPr>
            <w:tcW w:type="dxa" w:w="296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Why it is not in the estimate</w:t>
            </w:r>
          </w:p>
        </w:tc>
      </w:tr>
      <w:tr>
        <w:trPr>
          <w:cantSplit/>
        </w:trPr>
        <w:tc>
          <w:tcPr>
            <w:tcW w:type="dxa" w:w="42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Separate production AWS account with Control Tower, Organizations, IAM Identity Center, CloudTrail data events, Config and GuardDuty</w:t>
            </w:r>
          </w:p>
        </w:tc>
        <w:tc>
          <w:tcPr>
            <w:tcW w:type="dxa" w:w="22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$50 – $250 / month</w:t>
            </w:r>
          </w:p>
        </w:tc>
        <w:tc>
          <w:tcPr>
            <w:tcW w:type="dxa" w:w="29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Landing zone is not defined anywhere; cost depends entirely on Config recording scope and GuardDuty event volume</w:t>
            </w:r>
          </w:p>
        </w:tc>
      </w:tr>
      <w:tr>
        <w:trPr>
          <w:cantSplit/>
        </w:trPr>
        <w:tc>
          <w:tcPr>
            <w:tcW w:type="dxa" w:w="4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Two Application Load Balancers — public with WAF and Shield, plus an internal one for the admin console</w:t>
            </w:r>
          </w:p>
        </w:tc>
        <w:tc>
          <w:tcPr>
            <w:tcW w:type="dxa" w:w="2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$56 / month</w:t>
            </w:r>
          </w:p>
        </w:tc>
        <w:tc>
          <w:tcPr>
            <w:tcW w:type="dxa" w:w="29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The code routes through API Gateway and Cloud Map instead, which needs no load balancer. Adding ALBs is an architecture change, not an omission</w:t>
            </w:r>
          </w:p>
        </w:tc>
      </w:tr>
      <w:tr>
        <w:trPr>
          <w:cantSplit/>
        </w:trPr>
        <w:tc>
          <w:tcPr>
            <w:tcW w:type="dxa" w:w="42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AWS Shield Advanced</w:t>
            </w:r>
          </w:p>
        </w:tc>
        <w:tc>
          <w:tcPr>
            <w:tcW w:type="dxa" w:w="22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$3,000 / month</w:t>
            </w:r>
          </w:p>
        </w:tc>
        <w:tc>
          <w:tcPr>
            <w:tcW w:type="dxa" w:w="29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Requires a one-year organisational commitment. Not justifiable at launch scale; Shield Standard is free and already active</w:t>
            </w:r>
          </w:p>
        </w:tc>
      </w:tr>
      <w:tr>
        <w:trPr>
          <w:cantSplit/>
        </w:trPr>
        <w:tc>
          <w:tcPr>
            <w:tcW w:type="dxa" w:w="4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Cross-region encrypted backup copies for disaster recovery</w:t>
            </w:r>
          </w:p>
        </w:tc>
        <w:tc>
          <w:tcPr>
            <w:tcW w:type="dxa" w:w="2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$20 – $60 / month</w:t>
            </w:r>
          </w:p>
        </w:tc>
        <w:tc>
          <w:tcPr>
            <w:tcW w:type="dxa" w:w="29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No second region is chosen; cost is storage plus cross-region transfer at the source region rate</w:t>
            </w:r>
          </w:p>
        </w:tc>
      </w:tr>
      <w:tr>
        <w:trPr>
          <w:cantSplit/>
        </w:trPr>
        <w:tc>
          <w:tcPr>
            <w:tcW w:type="dxa" w:w="42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Larger private subnets, /20 or bigger</w:t>
            </w:r>
          </w:p>
        </w:tc>
        <w:tc>
          <w:tcPr>
            <w:tcW w:type="dxa" w:w="22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w:t>
            </w:r>
          </w:p>
        </w:tc>
        <w:tc>
          <w:tcPr>
            <w:tcW w:type="dxa" w:w="29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Free to change, but must happen before Fargate autoscaling goes live — /24 subnets cap task count on available ENIs</w:t>
            </w:r>
          </w:p>
        </w:tc>
      </w:tr>
      <w:tr>
        <w:trPr>
          <w:cantSplit/>
        </w:trPr>
        <w:tc>
          <w:tcPr>
            <w:tcW w:type="dxa" w:w="4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AOF persistence on the queue Redis tier</w:t>
            </w:r>
          </w:p>
        </w:tc>
        <w:tc>
          <w:tcPr>
            <w:tcW w:type="dxa" w:w="2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Included in node cost</w:t>
            </w:r>
          </w:p>
        </w:tc>
        <w:tc>
          <w:tcPr>
            <w:tcW w:type="dxa" w:w="29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Configuration change only; no separate charge</w:t>
            </w:r>
          </w:p>
        </w:tc>
      </w:tr>
      <w:tr>
        <w:trPr>
          <w:cantSplit/>
        </w:trPr>
        <w:tc>
          <w:tcPr>
            <w:tcW w:type="dxa" w:w="42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Secrets Manager rotation</w:t>
            </w:r>
          </w:p>
        </w:tc>
        <w:tc>
          <w:tcPr>
            <w:tcW w:type="dxa" w:w="22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$5 – $15 / month</w:t>
            </w:r>
          </w:p>
        </w:tc>
        <w:tc>
          <w:tcPr>
            <w:tcW w:type="dxa" w:w="29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Rotation runs a Lambda per secret; 19 secrets on a 30-day schedule is cheap but non-zero</w:t>
            </w:r>
          </w:p>
        </w:tc>
      </w:tr>
      <w:tr>
        <w:trPr>
          <w:cantSplit/>
        </w:trPr>
        <w:tc>
          <w:tcPr>
            <w:tcW w:type="dxa" w:w="4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Amazon Inspector enhanced ECR scanning</w:t>
            </w:r>
          </w:p>
        </w:tc>
        <w:tc>
          <w:tcPr>
            <w:tcW w:type="dxa" w:w="22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$3 – $10 / month</w:t>
            </w:r>
          </w:p>
        </w:tc>
        <w:tc>
          <w:tcPr>
            <w:tcW w:type="dxa" w:w="29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Currently basic scan-on-push, which is free. Enhanced scanning is billed per image by Inspector</w:t>
            </w:r>
          </w:p>
        </w:tc>
      </w:tr>
      <w:tr>
        <w:trPr>
          <w:cantSplit/>
        </w:trPr>
        <w:tc>
          <w:tcPr>
            <w:tcW w:type="dxa" w:w="42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AWS Business support plan</w:t>
            </w:r>
          </w:p>
        </w:tc>
        <w:tc>
          <w:tcPr>
            <w:tcW w:type="dxa" w:w="22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$100 / month</w:t>
            </w:r>
          </w:p>
        </w:tc>
        <w:tc>
          <w:tcPr>
            <w:tcW w:type="dxa" w:w="29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Greater of $100 or 10% of AWS spend. Strongly advised before production, and at launch spend the floor applies</w:t>
            </w:r>
          </w:p>
        </w:tc>
      </w:tr>
    </w:tbl>
    <w:p>
      <w:pPr>
        <w:spacing w:after="240"/>
      </w:pPr>
      <w:r>
        <w:rPr>
          <w:sz w:val="2"/>
          <w:szCs w:val="2"/>
        </w:rPr>
        <w:t xml:space="preserve"/>
      </w:r>
    </w:p>
    <w:tbl>
      <w:tblPr>
        <w:tblW w:type="dxa" w:w="9360"/>
        <w:tblBorders>
          <w:top w:val="none"/>
          <w:left w:val="none"/>
          <w:bottom w:val="none"/>
          <w:right w:val="none"/>
          <w:insideH w:val="none"/>
          <w:insideV w:val="none"/>
        </w:tblBorders>
      </w:tblPr>
      <w:tblGrid>
        <w:gridCol w:w="60"/>
        <w:gridCol w:w="9300"/>
      </w:tblGrid>
      <w:tr>
        <w:trPr>
          <w:cantSplit/>
        </w:trPr>
        <w:tc>
          <w:tcPr>
            <w:tcW w:type="dxa" w:w="60"/>
            <w:tcBorders>
              <w:top w:val="none"/>
              <w:left w:val="none"/>
              <w:bottom w:val="none"/>
              <w:right w:val="none"/>
            </w:tcBorders>
            <w:shd w:fill="1F4E5F" w:color="auto" w:val="clear"/>
            <w:tcMar>
              <w:top w:type="dxa" w:w="0"/>
              <w:left w:type="dxa" w:w="0"/>
              <w:bottom w:type="dxa" w:w="0"/>
              <w:right w:type="dxa" w:w="0"/>
            </w:tcMar>
          </w:tcPr>
          <w:p>
            <w:r>
              <w:rPr>
                <w:sz w:val="2"/>
                <w:szCs w:val="2"/>
              </w:rPr>
              <w:t xml:space="preserve"/>
            </w:r>
          </w:p>
        </w:tc>
        <w:tc>
          <w:tcPr>
            <w:tcW w:type="dxa" w:w="9300"/>
            <w:tcBorders>
              <w:top w:val="none"/>
              <w:left w:val="none"/>
              <w:bottom w:val="none"/>
              <w:right w:val="none"/>
            </w:tcBorders>
            <w:shd w:fill="E8F0F2" w:color="auto" w:val="clear"/>
            <w:tcMar>
              <w:top w:type="dxa" w:w="150"/>
              <w:left w:type="dxa" w:w="200"/>
              <w:bottom w:type="dxa" w:w="150"/>
              <w:right w:type="dxa" w:w="200"/>
            </w:tcMar>
          </w:tcPr>
          <w:p>
            <w:pPr>
              <w:spacing w:after="60"/>
            </w:pPr>
            <w:r>
              <w:rPr>
                <w:rFonts w:ascii="Calibri" w:cs="Calibri" w:eastAsia="Calibri" w:hAnsi="Calibri"/>
                <w:b/>
                <w:bCs/>
                <w:caps/>
                <w:color w:val="1F4E5F"/>
                <w:spacing w:val="10"/>
                <w:sz w:val="19"/>
                <w:szCs w:val="19"/>
              </w:rPr>
              <w:t xml:space="preserve">Realistic budget envelope</w:t>
            </w:r>
          </w:p>
          <w:p>
            <w:pPr>
              <w:spacing w:after="90" w:line="276"/>
            </w:pPr>
            <w:r>
              <w:rPr>
                <w:rFonts w:ascii="Calibri" w:cs="Calibri" w:eastAsia="Calibri" w:hAnsi="Calibri"/>
                <w:color w:val="1A1A1A"/>
                <w:sz w:val="19"/>
                <w:szCs w:val="19"/>
              </w:rPr>
              <w:t xml:space="preserve">Excluding Shield Advanced, which is not defensible at this scale, and excluding the two load balancers, which are an architecture change rather than an omission, the items above add </w:t>
            </w:r>
            <w:r>
              <w:rPr>
                <w:rFonts w:ascii="Calibri" w:cs="Calibri" w:eastAsia="Calibri" w:hAnsi="Calibri"/>
                <w:b/>
                <w:bCs/>
                <w:color w:val="1A1A1A"/>
                <w:sz w:val="19"/>
                <w:szCs w:val="19"/>
              </w:rPr>
              <w:t xml:space="preserve">$180 to $435 a month</w:t>
            </w:r>
            <w:r>
              <w:rPr>
                <w:rFonts w:ascii="Calibri" w:cs="Calibri" w:eastAsia="Calibri" w:hAnsi="Calibri"/>
                <w:color w:val="1A1A1A"/>
                <w:sz w:val="19"/>
                <w:szCs w:val="19"/>
              </w:rPr>
              <w:t xml:space="preserve">. A prudent production budget for the launch tier is therefore </w:t>
            </w:r>
            <w:r>
              <w:rPr>
                <w:rFonts w:ascii="Calibri" w:cs="Calibri" w:eastAsia="Calibri" w:hAnsi="Calibri"/>
                <w:b/>
                <w:bCs/>
                <w:color w:val="1A1A1A"/>
                <w:sz w:val="19"/>
                <w:szCs w:val="19"/>
              </w:rPr>
              <w:t xml:space="preserve">$1,474 to $1,729 a month</w:t>
            </w:r>
            <w:r>
              <w:rPr>
                <w:rFonts w:ascii="Calibri" w:cs="Calibri" w:eastAsia="Calibri" w:hAnsi="Calibri"/>
                <w:color w:val="1A1A1A"/>
                <w:sz w:val="19"/>
                <w:szCs w:val="19"/>
              </w:rPr>
              <w:t xml:space="preserve"> — call it </w:t>
            </w:r>
            <w:r>
              <w:rPr>
                <w:rFonts w:ascii="Calibri" w:cs="Calibri" w:eastAsia="Calibri" w:hAnsi="Calibri"/>
                <w:b/>
                <w:bCs/>
                <w:color w:val="1A1A1A"/>
                <w:sz w:val="19"/>
                <w:szCs w:val="19"/>
              </w:rPr>
              <w:t xml:space="preserve">$1,600 a month</w:t>
            </w:r>
            <w:r>
              <w:rPr>
                <w:rFonts w:ascii="Calibri" w:cs="Calibri" w:eastAsia="Calibri" w:hAnsi="Calibri"/>
                <w:color w:val="1A1A1A"/>
                <w:sz w:val="19"/>
                <w:szCs w:val="19"/>
              </w:rPr>
              <w:t xml:space="preserve">, or </w:t>
            </w:r>
            <w:r>
              <w:rPr>
                <w:rFonts w:ascii="Calibri" w:cs="Calibri" w:eastAsia="Calibri" w:hAnsi="Calibri"/>
                <w:b/>
                <w:bCs/>
                <w:color w:val="1A1A1A"/>
                <w:sz w:val="19"/>
                <w:szCs w:val="19"/>
              </w:rPr>
              <w:t xml:space="preserve">$19,200 a year</w:t>
            </w:r>
            <w:r>
              <w:rPr>
                <w:rFonts w:ascii="Calibri" w:cs="Calibri" w:eastAsia="Calibri" w:hAnsi="Calibri"/>
                <w:color w:val="1A1A1A"/>
                <w:sz w:val="19"/>
                <w:szCs w:val="19"/>
              </w:rPr>
              <w:t xml:space="preserve"> — rather than the </w:t>
            </w:r>
            <w:r>
              <w:rPr>
                <w:rFonts w:ascii="Calibri" w:cs="Calibri" w:eastAsia="Calibri" w:hAnsi="Calibri"/>
                <w:b/>
                <w:bCs/>
                <w:color w:val="1A1A1A"/>
                <w:sz w:val="19"/>
                <w:szCs w:val="19"/>
              </w:rPr>
              <w:t xml:space="preserve">$1,294</w:t>
            </w:r>
            <w:r>
              <w:rPr>
                <w:rFonts w:ascii="Calibri" w:cs="Calibri" w:eastAsia="Calibri" w:hAnsi="Calibri"/>
                <w:color w:val="1A1A1A"/>
                <w:sz w:val="19"/>
                <w:szCs w:val="19"/>
              </w:rPr>
              <w:t xml:space="preserve"> headline figure.</w:t>
            </w:r>
          </w:p>
          <w:p>
            <w:pPr>
              <w:spacing w:after="0" w:line="276"/>
            </w:pPr>
            <w:r>
              <w:rPr>
                <w:rFonts w:ascii="Calibri" w:cs="Calibri" w:eastAsia="Calibri" w:hAnsi="Calibri"/>
                <w:color w:val="1A1A1A"/>
                <w:sz w:val="19"/>
                <w:szCs w:val="19"/>
              </w:rPr>
              <w:t xml:space="preserve">The </w:t>
            </w:r>
            <w:r>
              <w:rPr>
                <w:rFonts w:ascii="Calibri" w:cs="Calibri" w:eastAsia="Calibri" w:hAnsi="Calibri"/>
                <w:b/>
                <w:bCs/>
                <w:color w:val="1A1A1A"/>
                <w:sz w:val="19"/>
                <w:szCs w:val="19"/>
              </w:rPr>
              <w:t xml:space="preserve">$300 a month</w:t>
            </w:r>
            <w:r>
              <w:rPr>
                <w:rFonts w:ascii="Calibri" w:cs="Calibri" w:eastAsia="Calibri" w:hAnsi="Calibri"/>
                <w:color w:val="1A1A1A"/>
                <w:sz w:val="19"/>
                <w:szCs w:val="19"/>
              </w:rPr>
              <w:t xml:space="preserve"> of levers in §7 more than covers the difference, which is the argument for treating §7 as part of the launch scope rather than as a later optimisation.</w:t>
            </w:r>
          </w:p>
        </w:tc>
      </w:tr>
    </w:tbl>
    <w:p>
      <w:pPr>
        <w:spacing w:after="200"/>
      </w:pPr>
      <w:r>
        <w:rPr>
          <w:sz w:val="2"/>
          <w:szCs w:val="2"/>
        </w:rPr>
        <w:t xml:space="preserve"/>
      </w:r>
    </w:p>
    <w:p>
      <w:pPr>
        <w:pStyle w:val="Heading1"/>
        <w:keepNext/>
        <w:pBdr>
          <w:bottom w:val="single" w:color="1F4E5F" w:sz="8" w:space="6"/>
        </w:pBdr>
        <w:spacing w:after="160" w:before="360"/>
      </w:pPr>
      <w:r>
        <w:rPr>
          <w:rFonts w:ascii="Calibri" w:cs="Calibri" w:eastAsia="Calibri" w:hAnsi="Calibri"/>
          <w:b/>
          <w:bCs/>
          <w:color w:val="1F4E5F"/>
          <w:sz w:val="30"/>
          <w:szCs w:val="30"/>
        </w:rPr>
        <w:t xml:space="preserve">10. Cost risks</w:t>
      </w:r>
    </w:p>
    <w:tbl>
      <w:tblPr>
        <w:tblW w:type="dxa" w:w="9360"/>
        <w:tblBorders>
          <w:top w:val="none"/>
          <w:left w:val="none"/>
          <w:bottom w:val="none"/>
          <w:right w:val="none"/>
          <w:insideH w:val="none"/>
          <w:insideV w:val="none"/>
        </w:tblBorders>
      </w:tblPr>
      <w:tblGrid>
        <w:gridCol w:w="2900"/>
        <w:gridCol w:w="1700"/>
        <w:gridCol w:w="4760"/>
      </w:tblGrid>
      <w:tr>
        <w:trPr>
          <w:cantSplit/>
          <w:tblHeader/>
        </w:trPr>
        <w:tc>
          <w:tcPr>
            <w:tcW w:type="dxa" w:w="29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Risk</w:t>
            </w:r>
          </w:p>
        </w:tc>
        <w:tc>
          <w:tcPr>
            <w:tcW w:type="dxa" w:w="17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aps/>
                <w:color w:val="FFFFFF"/>
                <w:spacing w:val="10"/>
                <w:sz w:val="15"/>
                <w:szCs w:val="15"/>
              </w:rPr>
              <w:t xml:space="preserve">Exposure</w:t>
            </w:r>
          </w:p>
        </w:tc>
        <w:tc>
          <w:tcPr>
            <w:tcW w:type="dxa" w:w="476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Mitigation</w:t>
            </w:r>
          </w:p>
        </w:tc>
      </w:tr>
      <w:tr>
        <w:trPr>
          <w:cantSplit/>
        </w:trPr>
        <w:tc>
          <w:tcPr>
            <w:tcW w:type="dxa" w:w="2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Region forced to af-south-1 for data residency</w:t>
            </w:r>
          </w:p>
        </w:tc>
        <w:tc>
          <w:tcPr>
            <w:tcW w:type="dxa" w:w="17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+$167 / month</w:t>
            </w:r>
          </w:p>
        </w:tc>
        <w:tc>
          <w:tcPr>
            <w:tcW w:type="dxa" w:w="4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Confirm the residency requirement now. If Ghanaian or Nigerian regulation requires in-continent storage, this is a compliance cost, not an optimisation, and af-south-1 availability must be resolved with AWS</w:t>
            </w:r>
          </w:p>
        </w:tc>
      </w:tr>
      <w:tr>
        <w:trPr>
          <w:cantSplit/>
        </w:trPr>
        <w:tc>
          <w:tcPr>
            <w:tcW w:type="dxa" w:w="2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Log volume exceeds the 25 GB assumption</w:t>
            </w:r>
          </w:p>
        </w:tc>
        <w:tc>
          <w:tcPr>
            <w:tcW w:type="dxa" w:w="17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+$6 per extra 10 GB</w:t>
            </w:r>
          </w:p>
        </w:tc>
        <w:tc>
          <w:tcPr>
            <w:tcW w:type="dxa" w:w="4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Set log level to info in production, sample access logs, and use the Infrequent Access log class. This is the single most uncertain quantity in the model</w:t>
            </w:r>
          </w:p>
        </w:tc>
      </w:tr>
      <w:tr>
        <w:trPr>
          <w:cantSplit/>
        </w:trPr>
        <w:tc>
          <w:tcPr>
            <w:tcW w:type="dxa" w:w="2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Burstable CPU credit exhaustion on RDS or ElastiCache</w:t>
            </w:r>
          </w:p>
        </w:tc>
        <w:tc>
          <w:tcPr>
            <w:tcW w:type="dxa" w:w="17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$0.075 per vCPU-hour</w:t>
            </w:r>
          </w:p>
        </w:tc>
        <w:tc>
          <w:tcPr>
            <w:tcW w:type="dxa" w:w="4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Alarm on CPU credit balance from day one. T-class instances bill overage separately and reserved instances do not cover it</w:t>
            </w:r>
          </w:p>
        </w:tc>
      </w:tr>
      <w:tr>
        <w:trPr>
          <w:cantSplit/>
        </w:trPr>
        <w:tc>
          <w:tcPr>
            <w:tcW w:type="dxa" w:w="2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Database outgrows the burstable class</w:t>
            </w:r>
          </w:p>
        </w:tc>
        <w:tc>
          <w:tcPr>
            <w:tcW w:type="dxa" w:w="17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+$156 / month</w:t>
            </w:r>
          </w:p>
        </w:tc>
        <w:tc>
          <w:tcPr>
            <w:tcW w:type="dxa" w:w="4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Plan the move to db.m6g.large before committing to a reserved instance, not after</w:t>
            </w:r>
          </w:p>
        </w:tc>
      </w:tr>
      <w:tr>
        <w:trPr>
          <w:cantSplit/>
        </w:trPr>
        <w:tc>
          <w:tcPr>
            <w:tcW w:type="dxa" w:w="2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Cedi appreciation against the dollar</w:t>
            </w:r>
          </w:p>
        </w:tc>
        <w:tc>
          <w:tcPr>
            <w:tcW w:type="dxa" w:w="17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+$45 / month</w:t>
            </w:r>
          </w:p>
        </w:tc>
        <w:tc>
          <w:tcPr>
            <w:tcW w:type="dxa" w:w="4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A stronger cedi raises the dollar cost of Arkesel credit. Denominate tenant SMS pricing in cedis, or reprice quarterly</w:t>
            </w:r>
          </w:p>
        </w:tc>
      </w:tr>
      <w:tr>
        <w:trPr>
          <w:cantSplit/>
        </w:trPr>
        <w:tc>
          <w:tcPr>
            <w:tcW w:type="dxa" w:w="2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Reserved instance bought before right-sizing</w:t>
            </w:r>
          </w:p>
        </w:tc>
        <w:tc>
          <w:tcPr>
            <w:tcW w:type="dxa" w:w="17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$608 over the term</w:t>
            </w:r>
          </w:p>
        </w:tc>
        <w:tc>
          <w:tcPr>
            <w:tcW w:type="dxa" w:w="4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Reserving four Redis nodes costs $51 a month more than reserving the three that are needed. Execute §7 levers 1 to 7 first, then commit only on the right-sized footprint</w:t>
            </w:r>
          </w:p>
        </w:tc>
      </w:tr>
      <w:tr>
        <w:trPr>
          <w:cantSplit/>
        </w:trPr>
        <w:tc>
          <w:tcPr>
            <w:tcW w:type="dxa" w:w="2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Confidence C rates prove wrong</w:t>
            </w:r>
          </w:p>
        </w:tc>
        <w:tc>
          <w:tcPr>
            <w:tcW w:type="dxa" w:w="17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±10% of AWS spend</w:t>
            </w:r>
          </w:p>
        </w:tc>
        <w:tc>
          <w:tcPr>
            <w:tcW w:type="dxa" w:w="47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Run the AWS Pricing Calculator against the §3 inventory before the budget is approved. Fifteen minutes of work removes this risk entirely</w:t>
            </w:r>
          </w:p>
        </w:tc>
      </w:tr>
      <w:tr>
        <w:trPr>
          <w:cantSplit/>
        </w:trPr>
        <w:tc>
          <w:tcPr>
            <w:tcW w:type="dxa" w:w="2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bCs/>
                <w:color w:val="1A1A1A"/>
                <w:sz w:val="18"/>
                <w:szCs w:val="18"/>
              </w:rPr>
              <w:t xml:space="preserve">Autoscaling capped by /24 private subnets</w:t>
            </w:r>
          </w:p>
        </w:tc>
        <w:tc>
          <w:tcPr>
            <w:tcW w:type="dxa" w:w="17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Availability, not cost</w:t>
            </w:r>
          </w:p>
        </w:tc>
        <w:tc>
          <w:tcPr>
            <w:tcW w:type="dxa" w:w="47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Widen the subnets to /20 before autoscaling goes live. Free to do now, disruptive later</w:t>
            </w:r>
          </w:p>
        </w:tc>
      </w:tr>
    </w:tbl>
    <w:p>
      <w:pPr>
        <w:spacing w:after="240"/>
      </w:pPr>
      <w:r>
        <w:rPr>
          <w:sz w:val="2"/>
          <w:szCs w:val="2"/>
        </w:rPr>
        <w:t xml:space="preserve"/>
      </w:r>
    </w:p>
    <w:p>
      <w:pPr>
        <w:pStyle w:val="Heading1"/>
        <w:keepNext/>
        <w:pBdr>
          <w:bottom w:val="single" w:color="1F4E5F" w:sz="8" w:space="6"/>
        </w:pBdr>
        <w:spacing w:after="160" w:before="360"/>
      </w:pPr>
      <w:r>
        <w:rPr>
          <w:rFonts w:ascii="Calibri" w:cs="Calibri" w:eastAsia="Calibri" w:hAnsi="Calibri"/>
          <w:b/>
          <w:bCs/>
          <w:color w:val="1F4E5F"/>
          <w:sz w:val="30"/>
          <w:szCs w:val="30"/>
        </w:rPr>
        <w:t xml:space="preserve">11. Recommended next steps</w:t>
      </w:r>
    </w:p>
    <w:tbl>
      <w:tblPr>
        <w:tblW w:type="dxa" w:w="9360"/>
        <w:tblBorders>
          <w:top w:val="none"/>
          <w:left w:val="none"/>
          <w:bottom w:val="none"/>
          <w:right w:val="none"/>
          <w:insideH w:val="none"/>
          <w:insideV w:val="none"/>
        </w:tblBorders>
      </w:tblPr>
      <w:tblGrid>
        <w:gridCol w:w="500"/>
        <w:gridCol w:w="5500"/>
        <w:gridCol w:w="1700"/>
        <w:gridCol w:w="1660"/>
      </w:tblGrid>
      <w:tr>
        <w:trPr>
          <w:cantSplit/>
          <w:tblHeader/>
        </w:trPr>
        <w:tc>
          <w:tcPr>
            <w:tcW w:type="dxa" w:w="5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aps/>
                <w:color w:val="FFFFFF"/>
                <w:spacing w:val="10"/>
                <w:sz w:val="15"/>
                <w:szCs w:val="15"/>
              </w:rPr>
              <w:t xml:space="preserve">#</w:t>
            </w:r>
          </w:p>
        </w:tc>
        <w:tc>
          <w:tcPr>
            <w:tcW w:type="dxa" w:w="55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Action</w:t>
            </w:r>
          </w:p>
        </w:tc>
        <w:tc>
          <w:tcPr>
            <w:tcW w:type="dxa" w:w="17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Owner</w:t>
            </w:r>
          </w:p>
        </w:tc>
        <w:tc>
          <w:tcPr>
            <w:tcW w:type="dxa" w:w="166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Before</w:t>
            </w:r>
          </w:p>
        </w:tc>
      </w:tr>
      <w:tr>
        <w:trPr>
          <w:cantSplit/>
        </w:trPr>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bCs/>
                <w:color w:val="1A1A1A"/>
                <w:sz w:val="18"/>
                <w:szCs w:val="18"/>
              </w:rPr>
              <w:t xml:space="preserve">1</w:t>
            </w:r>
          </w:p>
        </w:tc>
        <w:tc>
          <w:tcPr>
            <w:tcW w:type="dxa" w:w="5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Retrieve Cost Explorer history from the suspended account for the months the AWS testing environment ran, and reconcile it line by line against §5</w:t>
            </w:r>
          </w:p>
        </w:tc>
        <w:tc>
          <w:tcPr>
            <w:tcW w:type="dxa" w:w="17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Platform engineering</w:t>
            </w:r>
          </w:p>
        </w:tc>
        <w:tc>
          <w:tcPr>
            <w:tcW w:type="dxa" w:w="16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Budget approval</w:t>
            </w:r>
          </w:p>
        </w:tc>
      </w:tr>
      <w:tr>
        <w:trPr>
          <w:cantSplit/>
        </w:trPr>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1A1A1A"/>
                <w:sz w:val="18"/>
                <w:szCs w:val="18"/>
              </w:rPr>
              <w:t xml:space="preserve">2</w:t>
            </w:r>
          </w:p>
        </w:tc>
        <w:tc>
          <w:tcPr>
            <w:tcW w:type="dxa" w:w="5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Validate every confidence C rate in Appendix A against the AWS Pricing Calculator or the AWS Price List API for eu-west-1</w:t>
            </w:r>
          </w:p>
        </w:tc>
        <w:tc>
          <w:tcPr>
            <w:tcW w:type="dxa" w:w="17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Platform engineering</w:t>
            </w:r>
          </w:p>
        </w:tc>
        <w:tc>
          <w:tcPr>
            <w:tcW w:type="dxa" w:w="16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Budget approval</w:t>
            </w:r>
          </w:p>
        </w:tc>
      </w:tr>
      <w:tr>
        <w:trPr>
          <w:cantSplit/>
        </w:trPr>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bCs/>
                <w:color w:val="1A1A1A"/>
                <w:sz w:val="18"/>
                <w:szCs w:val="18"/>
              </w:rPr>
              <w:t xml:space="preserve">3</w:t>
            </w:r>
          </w:p>
        </w:tc>
        <w:tc>
          <w:tcPr>
            <w:tcW w:type="dxa" w:w="5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Resolve the region question: confirm whether data residency requires af-south-1, and whether the account can use it</w:t>
            </w:r>
          </w:p>
        </w:tc>
        <w:tc>
          <w:tcPr>
            <w:tcW w:type="dxa" w:w="17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Product and legal</w:t>
            </w:r>
          </w:p>
        </w:tc>
        <w:tc>
          <w:tcPr>
            <w:tcW w:type="dxa" w:w="16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Terraform is written</w:t>
            </w:r>
          </w:p>
        </w:tc>
      </w:tr>
      <w:tr>
        <w:trPr>
          <w:cantSplit/>
        </w:trPr>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1A1A1A"/>
                <w:sz w:val="18"/>
                <w:szCs w:val="18"/>
              </w:rPr>
              <w:t xml:space="preserve">4</w:t>
            </w:r>
          </w:p>
        </w:tc>
        <w:tc>
          <w:tcPr>
            <w:tcW w:type="dxa" w:w="5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Write infra/prod Terraform to the §3 inventory with the §7 levers already applied, rather than porting the testing sizing forward</w:t>
            </w:r>
          </w:p>
        </w:tc>
        <w:tc>
          <w:tcPr>
            <w:tcW w:type="dxa" w:w="17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Platform engineering</w:t>
            </w:r>
          </w:p>
        </w:tc>
        <w:tc>
          <w:tcPr>
            <w:tcW w:type="dxa" w:w="16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First deploy</w:t>
            </w:r>
          </w:p>
        </w:tc>
      </w:tr>
      <w:tr>
        <w:trPr>
          <w:cantSplit/>
        </w:trPr>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bCs/>
                <w:color w:val="1A1A1A"/>
                <w:sz w:val="18"/>
                <w:szCs w:val="18"/>
              </w:rPr>
              <w:t xml:space="preserve">5</w:t>
            </w:r>
          </w:p>
        </w:tc>
        <w:tc>
          <w:tcPr>
            <w:tcW w:type="dxa" w:w="5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Widen the private subnets to /20 and add the free S3 gateway endpoint</w:t>
            </w:r>
          </w:p>
        </w:tc>
        <w:tc>
          <w:tcPr>
            <w:tcW w:type="dxa" w:w="17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Platform engineering</w:t>
            </w:r>
          </w:p>
        </w:tc>
        <w:tc>
          <w:tcPr>
            <w:tcW w:type="dxa" w:w="16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Autoscaling goes live</w:t>
            </w:r>
          </w:p>
        </w:tc>
      </w:tr>
      <w:tr>
        <w:trPr>
          <w:cantSplit/>
        </w:trPr>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1A1A1A"/>
                <w:sz w:val="18"/>
                <w:szCs w:val="18"/>
              </w:rPr>
              <w:t xml:space="preserve">6</w:t>
            </w:r>
          </w:p>
        </w:tc>
        <w:tc>
          <w:tcPr>
            <w:tcW w:type="dxa" w:w="5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Scope the production landing zone — account structure, Control Tower, Config recording scope, GuardDuty — and cost it properly</w:t>
            </w:r>
          </w:p>
        </w:tc>
        <w:tc>
          <w:tcPr>
            <w:tcW w:type="dxa" w:w="17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Platform engineering</w:t>
            </w:r>
          </w:p>
        </w:tc>
        <w:tc>
          <w:tcPr>
            <w:tcW w:type="dxa" w:w="16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Production account is created</w:t>
            </w:r>
          </w:p>
        </w:tc>
      </w:tr>
      <w:tr>
        <w:trPr>
          <w:cantSplit/>
        </w:trPr>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bCs/>
                <w:color w:val="1A1A1A"/>
                <w:sz w:val="18"/>
                <w:szCs w:val="18"/>
              </w:rPr>
              <w:t xml:space="preserve">7</w:t>
            </w:r>
          </w:p>
        </w:tc>
        <w:tc>
          <w:tcPr>
            <w:tcW w:type="dxa" w:w="5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Confirm the Arkesel sender ID registration fee and whether it is one-off or recurring; it is not published anywhere</w:t>
            </w:r>
          </w:p>
        </w:tc>
        <w:tc>
          <w:tcPr>
            <w:tcW w:type="dxa" w:w="17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Commercial</w:t>
            </w:r>
          </w:p>
        </w:tc>
        <w:tc>
          <w:tcPr>
            <w:tcW w:type="dxa" w:w="16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Go-live</w:t>
            </w:r>
          </w:p>
        </w:tc>
      </w:tr>
      <w:tr>
        <w:trPr>
          <w:cantSplit/>
        </w:trPr>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1A1A1A"/>
                <w:sz w:val="18"/>
                <w:szCs w:val="18"/>
              </w:rPr>
              <w:t xml:space="preserve">8</w:t>
            </w:r>
          </w:p>
        </w:tc>
        <w:tc>
          <w:tcPr>
            <w:tcW w:type="dxa" w:w="5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Set an AWS Budgets alert at 120% of the scenario B AWS figure with anomaly detection on NAT, CloudWatch and ElastiCache</w:t>
            </w:r>
          </w:p>
        </w:tc>
        <w:tc>
          <w:tcPr>
            <w:tcW w:type="dxa" w:w="17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Platform engineering</w:t>
            </w:r>
          </w:p>
        </w:tc>
        <w:tc>
          <w:tcPr>
            <w:tcW w:type="dxa" w:w="16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First deploy</w:t>
            </w:r>
          </w:p>
        </w:tc>
      </w:tr>
      <w:tr>
        <w:trPr>
          <w:cantSplit/>
        </w:trPr>
        <w:tc>
          <w:tcPr>
            <w:tcW w:type="dxa" w:w="50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bCs/>
                <w:color w:val="1A1A1A"/>
                <w:sz w:val="18"/>
                <w:szCs w:val="18"/>
              </w:rPr>
              <w:t xml:space="preserve">9</w:t>
            </w:r>
          </w:p>
        </w:tc>
        <w:tc>
          <w:tcPr>
            <w:tcW w:type="dxa" w:w="55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Decide whether Fabric or the tenant holds the Arkesel account; it moves 45% of the all-in figure</w:t>
            </w:r>
          </w:p>
        </w:tc>
        <w:tc>
          <w:tcPr>
            <w:tcW w:type="dxa" w:w="17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Commercial</w:t>
            </w:r>
          </w:p>
        </w:tc>
        <w:tc>
          <w:tcPr>
            <w:tcW w:type="dxa" w:w="166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Pricing is published</w:t>
            </w:r>
          </w:p>
        </w:tc>
      </w:tr>
      <w:tr>
        <w:trPr>
          <w:cantSplit/>
        </w:trPr>
        <w:tc>
          <w:tcPr>
            <w:tcW w:type="dxa" w:w="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1A1A1A"/>
                <w:sz w:val="18"/>
                <w:szCs w:val="18"/>
              </w:rPr>
              <w:t xml:space="preserve">10</w:t>
            </w:r>
          </w:p>
        </w:tc>
        <w:tc>
          <w:tcPr>
            <w:tcW w:type="dxa" w:w="55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Review sizing against real traffic at the end of the first quarter, then buy reserved instances and a Savings Plan</w:t>
            </w:r>
          </w:p>
        </w:tc>
        <w:tc>
          <w:tcPr>
            <w:tcW w:type="dxa" w:w="17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Platform engineering</w:t>
            </w:r>
          </w:p>
        </w:tc>
        <w:tc>
          <w:tcPr>
            <w:tcW w:type="dxa" w:w="16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End of Q1 in production</w:t>
            </w:r>
          </w:p>
        </w:tc>
      </w:tr>
    </w:tbl>
    <w:p>
      <w:r>
        <w:br w:type="page"/>
      </w:r>
    </w:p>
    <w:p>
      <w:pPr>
        <w:pStyle w:val="Heading1"/>
        <w:keepNext/>
        <w:pBdr>
          <w:bottom w:val="single" w:color="1F4E5F" w:sz="8" w:space="6"/>
        </w:pBdr>
        <w:spacing w:after="160" w:before="360"/>
      </w:pPr>
      <w:r>
        <w:rPr>
          <w:rFonts w:ascii="Calibri" w:cs="Calibri" w:eastAsia="Calibri" w:hAnsi="Calibri"/>
          <w:b/>
          <w:bCs/>
          <w:color w:val="1F4E5F"/>
          <w:sz w:val="30"/>
          <w:szCs w:val="30"/>
        </w:rPr>
        <w:t xml:space="preserve">Appendix A — Unit rate register</w:t>
      </w:r>
    </w:p>
    <w:p>
      <w:pPr>
        <w:spacing w:after="200" w:before="0" w:line="276"/>
      </w:pPr>
      <w:r>
        <w:rPr>
          <w:rFonts w:ascii="Calibri" w:cs="Calibri" w:eastAsia="Calibri" w:hAnsi="Calibri"/>
          <w:color w:val="1A1A1A"/>
          <w:sz w:val="20"/>
          <w:szCs w:val="20"/>
        </w:rPr>
        <w:t xml:space="preserve">All rates are USD list prices for Europe (Ireland), eu-west-1, checked 3 September 2026. The confidence column follows §2.3. Rates marked C should be validated before this estimate is used to commit budget. Four rates are marked †: they support the discussion in §3.2, §6.1 and §9 but price no line item in §5.</w:t>
      </w:r>
    </w:p>
    <w:tbl>
      <w:tblPr>
        <w:tblW w:type="dxa" w:w="9360"/>
        <w:tblBorders>
          <w:top w:val="none"/>
          <w:left w:val="none"/>
          <w:bottom w:val="none"/>
          <w:right w:val="none"/>
          <w:insideH w:val="none"/>
          <w:insideV w:val="none"/>
        </w:tblBorders>
      </w:tblPr>
      <w:tblGrid>
        <w:gridCol w:w="3900"/>
        <w:gridCol w:w="2400"/>
        <w:gridCol w:w="1900"/>
        <w:gridCol w:w="1160"/>
      </w:tblGrid>
      <w:tr>
        <w:trPr>
          <w:cantSplit/>
          <w:tblHeader/>
        </w:trPr>
        <w:tc>
          <w:tcPr>
            <w:tcW w:type="dxa" w:w="39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Rate</w:t>
            </w:r>
          </w:p>
        </w:tc>
        <w:tc>
          <w:tcPr>
            <w:tcW w:type="dxa" w:w="24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pPr>
            <w:r>
              <w:rPr>
                <w:rFonts w:ascii="Calibri" w:cs="Calibri" w:eastAsia="Calibri" w:hAnsi="Calibri"/>
                <w:b/>
                <w:bCs/>
                <w:caps/>
                <w:color w:val="FFFFFF"/>
                <w:spacing w:val="10"/>
                <w:sz w:val="15"/>
                <w:szCs w:val="15"/>
              </w:rPr>
              <w:t xml:space="preserve">Unit</w:t>
            </w:r>
          </w:p>
        </w:tc>
        <w:tc>
          <w:tcPr>
            <w:tcW w:type="dxa" w:w="190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right"/>
            </w:pPr>
            <w:r>
              <w:rPr>
                <w:rFonts w:ascii="Calibri" w:cs="Calibri" w:eastAsia="Calibri" w:hAnsi="Calibri"/>
                <w:b/>
                <w:bCs/>
                <w:caps/>
                <w:color w:val="FFFFFF"/>
                <w:spacing w:val="10"/>
                <w:sz w:val="15"/>
                <w:szCs w:val="15"/>
              </w:rPr>
              <w:t xml:space="preserve">Value</w:t>
            </w:r>
          </w:p>
        </w:tc>
        <w:tc>
          <w:tcPr>
            <w:tcW w:type="dxa" w:w="1160"/>
            <w:tcBorders>
              <w:top w:val="none"/>
              <w:left w:val="none"/>
              <w:bottom w:val="single" w:color="1F4E5F" w:sz="8"/>
              <w:right w:val="none"/>
            </w:tcBorders>
            <w:shd w:fill="1F4E5F"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aps/>
                <w:color w:val="FFFFFF"/>
                <w:spacing w:val="10"/>
                <w:sz w:val="15"/>
                <w:szCs w:val="15"/>
              </w:rPr>
              <w:t xml:space="preserve">Conf.</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Fargate Linux/x86 vCPU</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vCPU-hour</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$0.0405</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Fargate Linux/x86 memory</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GB-hour</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$0.0044</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Fargate Linux/ARM vCPU</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vCPU-hour</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$0.0324</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Fargate Linux/ARM memory</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GB-hour</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$0.0036</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RDS PostgreSQL db.t4g.small, single-AZ</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hour</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$0.0350</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RDS PostgreSQL db.t4g.medium, single-AZ</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hour</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$0.0690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RDS PostgreSQL db.t4g.large, single-AZ</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hour</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$0.1380</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RDS gp3 storage, Multi-AZ</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GB-month</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$0.2540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RDS gp3 storage, single-AZ †</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GB-month</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$0.1270</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RDS Proxy</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vCPU-hour, 2 vCPU minimum</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$0.0180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ElastiCache Redis cache.t4g.small</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node-hour</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$0.0340</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ElastiCache Redis cache.t4g.medium</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node-hour</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$0.0680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ElastiCache snapshot storage</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GB-month</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$0.0850</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NAT Gateway</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gateway-hour</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$0.0480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NAT Gateway data processing</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GB</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$0.0480</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Public IPv4 address in use</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address-hour</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$0.0050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B</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Cross-AZ transfer, both directions</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GB round trip</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$0.0200</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Interface VPC endpoint †</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endpoint per AZ-hour</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$0.0110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B</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API Gateway HTTP API</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request, first 300M</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$0.000001</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B</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CloudFront HTTPS requests, Europe</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10,000 requests</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$0.0120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CloudFront egress, Europe</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GB, first 10 TB</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$0.0850</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AWS WAF web ACL</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month</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$5.00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AWS WAF rule or rule group</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month</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$1.00</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AWS WAF request inspection</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request</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$0.0000006</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Application Load Balancer †</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hour</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$0.0225</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Application Load Balancer capacity unit †</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LCU-hour</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$0.0080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CloudWatch Logs ingestion, standard class</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GB</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$0.5700</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CloudWatch Logs storage</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GB-month</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$0.0300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CloudWatch alarm, standard resolution</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alarm-month</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$0.1000</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CloudWatch custom metric, first 10,000</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metric-month</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$0.3000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Secrets Manager secret</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secret-month</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$0.4000</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Secrets Manager API calls</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10,000 calls</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$0.0500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KMS customer-managed key</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key-month</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$1.00</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KMS requests</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10,000 requests</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$0.0300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Route 53 hosted zone, first 25</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zone-month</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$0.5000</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Route 53 standard queries</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million queries</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$0.4000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B</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Cloud Map registered resource</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resource-month</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$0.1000</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Cloud Map discovery API calls</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million calls</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$1.00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Data transfer out to internet</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GB, first 10 TB</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$0.0900</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ECR private repository storage</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GB-month</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$0.1000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S3 Standard storage, first 50 TB</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GB-month</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$0.0230</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RDS PostgreSQL db.m6g.large, single-AZ †</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hour</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$0.1760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RDS T-class CPU credit overage †</w:t>
            </w:r>
          </w:p>
        </w:tc>
        <w:tc>
          <w:tcPr>
            <w:tcW w:type="dxa" w:w="2400"/>
            <w:tcBorders>
              <w:top w:val="none"/>
              <w:left w:val="none"/>
              <w:bottom w:val="single" w:color="C9D1D6" w:sz="4"/>
              <w:right w:val="none"/>
            </w:tcBorders>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vCPU-hour</w:t>
            </w:r>
          </w:p>
        </w:tc>
        <w:tc>
          <w:tcPr>
            <w:tcW w:type="dxa" w:w="1900"/>
            <w:tcBorders>
              <w:top w:val="none"/>
              <w:left w:val="none"/>
              <w:bottom w:val="single" w:color="C9D1D6" w:sz="4"/>
              <w:right w:val="none"/>
            </w:tcBorders>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$0.0750</w:t>
            </w:r>
          </w:p>
        </w:tc>
        <w:tc>
          <w:tcPr>
            <w:tcW w:type="dxa" w:w="1160"/>
            <w:tcBorders>
              <w:top w:val="none"/>
              <w:left w:val="none"/>
              <w:bottom w:val="single" w:color="C9D1D6" w:sz="4"/>
              <w:right w:val="none"/>
            </w:tcBorders>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A</w:t>
            </w:r>
          </w:p>
        </w:tc>
      </w:tr>
      <w:tr>
        <w:trPr>
          <w:cantSplit/>
        </w:trPr>
        <w:tc>
          <w:tcPr>
            <w:tcW w:type="dxa" w:w="3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RDS enhanced monitoring, 60-second interval</w:t>
            </w:r>
          </w:p>
        </w:tc>
        <w:tc>
          <w:tcPr>
            <w:tcW w:type="dxa" w:w="24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color w:val="1A1A1A"/>
                <w:sz w:val="18"/>
                <w:szCs w:val="18"/>
              </w:rPr>
              <w:t xml:space="preserve">per instance-month</w:t>
            </w:r>
          </w:p>
        </w:tc>
        <w:tc>
          <w:tcPr>
            <w:tcW w:type="dxa" w:w="190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right"/>
            </w:pPr>
            <w:r>
              <w:rPr>
                <w:rFonts w:ascii="Calibri" w:cs="Calibri" w:eastAsia="Calibri" w:hAnsi="Calibri"/>
                <w:b w:val="false"/>
                <w:bCs w:val="false"/>
                <w:color w:val="1A1A1A"/>
                <w:sz w:val="18"/>
                <w:szCs w:val="18"/>
              </w:rPr>
              <w:t xml:space="preserve">$0.6000</w:t>
            </w:r>
          </w:p>
        </w:tc>
        <w:tc>
          <w:tcPr>
            <w:tcW w:type="dxa" w:w="1160"/>
            <w:tcBorders>
              <w:top w:val="none"/>
              <w:left w:val="none"/>
              <w:bottom w:val="single" w:color="C9D1D6" w:sz="4"/>
              <w:right w:val="none"/>
            </w:tcBorders>
            <w:shd w:fill="F7F9FA" w:color="auto" w:val="clear"/>
            <w:tcMar>
              <w:top w:type="dxa" w:w="70"/>
              <w:left w:type="dxa" w:w="110"/>
              <w:bottom w:type="dxa" w:w="70"/>
              <w:right w:type="dxa" w:w="110"/>
            </w:tcMar>
            <w:vAlign w:val="center"/>
          </w:tcPr>
          <w:p>
            <w:pPr>
              <w:spacing w:after="0" w:line="260"/>
              <w:jc w:val="center"/>
            </w:pPr>
            <w:r>
              <w:rPr>
                <w:rFonts w:ascii="Calibri" w:cs="Calibri" w:eastAsia="Calibri" w:hAnsi="Calibri"/>
                <w:b w:val="false"/>
                <w:bCs w:val="false"/>
                <w:color w:val="1A1A1A"/>
                <w:sz w:val="18"/>
                <w:szCs w:val="18"/>
              </w:rPr>
              <w:t xml:space="preserve">C</w:t>
            </w:r>
          </w:p>
        </w:tc>
      </w:tr>
    </w:tbl>
    <w:p>
      <w:pPr>
        <w:spacing w:after="240"/>
      </w:pPr>
      <w:r>
        <w:rPr>
          <w:sz w:val="2"/>
          <w:szCs w:val="2"/>
        </w:rPr>
        <w:t xml:space="preserve"/>
      </w:r>
    </w:p>
    <w:p>
      <w:pPr>
        <w:pStyle w:val="Heading2"/>
        <w:keepNext/>
        <w:spacing w:after="100" w:before="260"/>
      </w:pPr>
      <w:r>
        <w:rPr>
          <w:rFonts w:ascii="Calibri" w:cs="Calibri" w:eastAsia="Calibri" w:hAnsi="Calibri"/>
          <w:b/>
          <w:bCs/>
          <w:color w:val="1A1A1A"/>
          <w:sz w:val="23"/>
          <w:szCs w:val="23"/>
        </w:rPr>
        <w:t xml:space="preserve">Sources</w:t>
      </w:r>
    </w:p>
    <w:p>
      <w:pPr>
        <w:pStyle w:val="ListParagraph"/>
        <w:numPr>
          <w:ilvl w:val="0"/>
          <w:numId w:val="2"/>
        </w:numPr>
        <w:spacing w:after="90" w:line="276"/>
      </w:pPr>
      <w:r>
        <w:rPr>
          <w:rFonts w:ascii="Calibri" w:cs="Calibri" w:eastAsia="Calibri" w:hAnsi="Calibri"/>
          <w:color w:val="1A1A1A"/>
          <w:sz w:val="20"/>
          <w:szCs w:val="20"/>
        </w:rPr>
        <w:t xml:space="preserve">AWS Fargate pricing — aws.amazon.com/fargate/pricing</w:t>
      </w:r>
    </w:p>
    <w:p>
      <w:pPr>
        <w:pStyle w:val="ListParagraph"/>
        <w:numPr>
          <w:ilvl w:val="0"/>
          <w:numId w:val="2"/>
        </w:numPr>
        <w:spacing w:after="90" w:line="276"/>
      </w:pPr>
      <w:r>
        <w:rPr>
          <w:rFonts w:ascii="Calibri" w:cs="Calibri" w:eastAsia="Calibri" w:hAnsi="Calibri"/>
          <w:color w:val="1A1A1A"/>
          <w:sz w:val="20"/>
          <w:szCs w:val="20"/>
        </w:rPr>
        <w:t xml:space="preserve">AWS RDS for PostgreSQL pricing — aws.amazon.com/rds/postgresql/pricing</w:t>
      </w:r>
    </w:p>
    <w:p>
      <w:pPr>
        <w:pStyle w:val="ListParagraph"/>
        <w:numPr>
          <w:ilvl w:val="0"/>
          <w:numId w:val="2"/>
        </w:numPr>
        <w:spacing w:after="90" w:line="276"/>
      </w:pPr>
      <w:r>
        <w:rPr>
          <w:rFonts w:ascii="Calibri" w:cs="Calibri" w:eastAsia="Calibri" w:hAnsi="Calibri"/>
          <w:color w:val="1A1A1A"/>
          <w:sz w:val="20"/>
          <w:szCs w:val="20"/>
        </w:rPr>
        <w:t xml:space="preserve">AWS ElastiCache pricing — aws.amazon.com/elasticache/pricing</w:t>
      </w:r>
    </w:p>
    <w:p>
      <w:pPr>
        <w:pStyle w:val="ListParagraph"/>
        <w:numPr>
          <w:ilvl w:val="0"/>
          <w:numId w:val="2"/>
        </w:numPr>
        <w:spacing w:after="90" w:line="276"/>
      </w:pPr>
      <w:r>
        <w:rPr>
          <w:rFonts w:ascii="Calibri" w:cs="Calibri" w:eastAsia="Calibri" w:hAnsi="Calibri"/>
          <w:color w:val="1A1A1A"/>
          <w:sz w:val="20"/>
          <w:szCs w:val="20"/>
        </w:rPr>
        <w:t xml:space="preserve">AWS VPC pricing — aws.amazon.com/vpc/pricing</w:t>
      </w:r>
    </w:p>
    <w:p>
      <w:pPr>
        <w:pStyle w:val="ListParagraph"/>
        <w:numPr>
          <w:ilvl w:val="0"/>
          <w:numId w:val="2"/>
        </w:numPr>
        <w:spacing w:after="90" w:line="276"/>
      </w:pPr>
      <w:r>
        <w:rPr>
          <w:rFonts w:ascii="Calibri" w:cs="Calibri" w:eastAsia="Calibri" w:hAnsi="Calibri"/>
          <w:color w:val="1A1A1A"/>
          <w:sz w:val="20"/>
          <w:szCs w:val="20"/>
        </w:rPr>
        <w:t xml:space="preserve">AWS API Gateway pricing — aws.amazon.com/api-gateway/pricing</w:t>
      </w:r>
    </w:p>
    <w:p>
      <w:pPr>
        <w:pStyle w:val="ListParagraph"/>
        <w:numPr>
          <w:ilvl w:val="0"/>
          <w:numId w:val="2"/>
        </w:numPr>
        <w:spacing w:after="90" w:line="276"/>
      </w:pPr>
      <w:r>
        <w:rPr>
          <w:rFonts w:ascii="Calibri" w:cs="Calibri" w:eastAsia="Calibri" w:hAnsi="Calibri"/>
          <w:color w:val="1A1A1A"/>
          <w:sz w:val="20"/>
          <w:szCs w:val="20"/>
        </w:rPr>
        <w:t xml:space="preserve">AWS CloudFront pricing — aws.amazon.com/cloudfront/pricing</w:t>
      </w:r>
    </w:p>
    <w:p>
      <w:pPr>
        <w:pStyle w:val="ListParagraph"/>
        <w:numPr>
          <w:ilvl w:val="0"/>
          <w:numId w:val="2"/>
        </w:numPr>
        <w:spacing w:after="90" w:line="276"/>
      </w:pPr>
      <w:r>
        <w:rPr>
          <w:rFonts w:ascii="Calibri" w:cs="Calibri" w:eastAsia="Calibri" w:hAnsi="Calibri"/>
          <w:color w:val="1A1A1A"/>
          <w:sz w:val="20"/>
          <w:szCs w:val="20"/>
        </w:rPr>
        <w:t xml:space="preserve">AWS WAF pricing — aws.amazon.com/waf/pricing</w:t>
      </w:r>
    </w:p>
    <w:p>
      <w:pPr>
        <w:pStyle w:val="ListParagraph"/>
        <w:numPr>
          <w:ilvl w:val="0"/>
          <w:numId w:val="2"/>
        </w:numPr>
        <w:spacing w:after="90" w:line="276"/>
      </w:pPr>
      <w:r>
        <w:rPr>
          <w:rFonts w:ascii="Calibri" w:cs="Calibri" w:eastAsia="Calibri" w:hAnsi="Calibri"/>
          <w:color w:val="1A1A1A"/>
          <w:sz w:val="20"/>
          <w:szCs w:val="20"/>
        </w:rPr>
        <w:t xml:space="preserve">AWS CloudWatch pricing — aws.amazon.com/cloudwatch/pricing</w:t>
      </w:r>
    </w:p>
    <w:p>
      <w:pPr>
        <w:pStyle w:val="ListParagraph"/>
        <w:numPr>
          <w:ilvl w:val="0"/>
          <w:numId w:val="2"/>
        </w:numPr>
        <w:spacing w:after="90" w:line="276"/>
      </w:pPr>
      <w:r>
        <w:rPr>
          <w:rFonts w:ascii="Calibri" w:cs="Calibri" w:eastAsia="Calibri" w:hAnsi="Calibri"/>
          <w:color w:val="1A1A1A"/>
          <w:sz w:val="20"/>
          <w:szCs w:val="20"/>
        </w:rPr>
        <w:t xml:space="preserve">AWS Secrets Manager, KMS, Route 53, Cloud Map, ECR and S3 pricing pages</w:t>
      </w:r>
    </w:p>
    <w:p>
      <w:pPr>
        <w:pStyle w:val="ListParagraph"/>
        <w:numPr>
          <w:ilvl w:val="0"/>
          <w:numId w:val="2"/>
        </w:numPr>
        <w:spacing w:after="90" w:line="276"/>
      </w:pPr>
      <w:r>
        <w:rPr>
          <w:rFonts w:ascii="Calibri" w:cs="Calibri" w:eastAsia="Calibri" w:hAnsi="Calibri"/>
          <w:color w:val="1A1A1A"/>
          <w:sz w:val="20"/>
          <w:szCs w:val="20"/>
        </w:rPr>
        <w:t xml:space="preserve">AWS public price feeds — b0.p.awsstatic.com/pricing/2.0/meteredUnitMaps</w:t>
      </w:r>
    </w:p>
    <w:p>
      <w:pPr>
        <w:pStyle w:val="ListParagraph"/>
        <w:numPr>
          <w:ilvl w:val="0"/>
          <w:numId w:val="2"/>
        </w:numPr>
        <w:spacing w:after="90" w:line="276"/>
      </w:pPr>
      <w:r>
        <w:rPr>
          <w:rFonts w:ascii="Calibri" w:cs="Calibri" w:eastAsia="Calibri" w:hAnsi="Calibri"/>
          <w:color w:val="1A1A1A"/>
          <w:sz w:val="20"/>
          <w:szCs w:val="20"/>
        </w:rPr>
        <w:t xml:space="preserve">WorkOS pricing — workos.com/pricing</w:t>
      </w:r>
    </w:p>
    <w:p>
      <w:pPr>
        <w:pStyle w:val="ListParagraph"/>
        <w:numPr>
          <w:ilvl w:val="0"/>
          <w:numId w:val="2"/>
        </w:numPr>
        <w:spacing w:after="90" w:line="276"/>
      </w:pPr>
      <w:r>
        <w:rPr>
          <w:rFonts w:ascii="Calibri" w:cs="Calibri" w:eastAsia="Calibri" w:hAnsi="Calibri"/>
          <w:color w:val="1A1A1A"/>
          <w:sz w:val="20"/>
          <w:szCs w:val="20"/>
        </w:rPr>
        <w:t xml:space="preserve">Arkesel pricing — arkesel.com/pricing</w:t>
      </w:r>
    </w:p>
    <w:p>
      <w:pPr>
        <w:pStyle w:val="ListParagraph"/>
        <w:numPr>
          <w:ilvl w:val="0"/>
          <w:numId w:val="2"/>
        </w:numPr>
        <w:spacing w:after="90" w:line="276"/>
      </w:pPr>
      <w:r>
        <w:rPr>
          <w:rFonts w:ascii="Calibri" w:cs="Calibri" w:eastAsia="Calibri" w:hAnsi="Calibri"/>
          <w:color w:val="1A1A1A"/>
          <w:sz w:val="20"/>
          <w:szCs w:val="20"/>
        </w:rPr>
        <w:t xml:space="preserve">Paystack pricing — paystack.com/gh/pricing and paystack.com/pricing</w:t>
      </w:r>
    </w:p>
    <w:p>
      <w:pPr>
        <w:pStyle w:val="ListParagraph"/>
        <w:numPr>
          <w:ilvl w:val="0"/>
          <w:numId w:val="2"/>
        </w:numPr>
        <w:spacing w:after="90" w:line="276"/>
      </w:pPr>
      <w:r>
        <w:rPr>
          <w:rFonts w:ascii="Calibri" w:cs="Calibri" w:eastAsia="Calibri" w:hAnsi="Calibri"/>
          <w:color w:val="1A1A1A"/>
          <w:sz w:val="20"/>
          <w:szCs w:val="20"/>
        </w:rPr>
        <w:t xml:space="preserve">Grafana Cloud pricing — grafana.com/pricing</w:t>
      </w:r>
    </w:p>
    <w:p>
      <w:pPr>
        <w:pStyle w:val="ListParagraph"/>
        <w:numPr>
          <w:ilvl w:val="0"/>
          <w:numId w:val="2"/>
        </w:numPr>
        <w:spacing w:after="90" w:line="276"/>
      </w:pPr>
      <w:r>
        <w:rPr>
          <w:rFonts w:ascii="Calibri" w:cs="Calibri" w:eastAsia="Calibri" w:hAnsi="Calibri"/>
          <w:color w:val="1A1A1A"/>
          <w:sz w:val="20"/>
          <w:szCs w:val="20"/>
        </w:rPr>
        <w:t xml:space="preserve">Sentry pricing — sentry.io/pricing</w:t>
      </w:r>
    </w:p>
    <w:p>
      <w:pPr>
        <w:pStyle w:val="ListParagraph"/>
        <w:numPr>
          <w:ilvl w:val="0"/>
          <w:numId w:val="2"/>
        </w:numPr>
        <w:spacing w:after="90" w:line="276"/>
      </w:pPr>
      <w:r>
        <w:rPr>
          <w:rFonts w:ascii="Calibri" w:cs="Calibri" w:eastAsia="Calibri" w:hAnsi="Calibri"/>
          <w:color w:val="1A1A1A"/>
          <w:sz w:val="20"/>
          <w:szCs w:val="20"/>
        </w:rPr>
        <w:t xml:space="preserve">Infisical pricing — infisical.com/pricing</w:t>
      </w:r>
    </w:p>
    <w:p>
      <w:pPr>
        <w:pStyle w:val="ListParagraph"/>
        <w:numPr>
          <w:ilvl w:val="0"/>
          <w:numId w:val="2"/>
        </w:numPr>
        <w:spacing w:after="90" w:line="276"/>
      </w:pPr>
      <w:r>
        <w:rPr>
          <w:rFonts w:ascii="Calibri" w:cs="Calibri" w:eastAsia="Calibri" w:hAnsi="Calibri"/>
          <w:color w:val="1A1A1A"/>
          <w:sz w:val="20"/>
          <w:szCs w:val="20"/>
        </w:rPr>
        <w:t xml:space="preserve">Holori cloud pricing calculator, eu-west-1 views for ElastiCache and RDS</w:t>
      </w:r>
    </w:p>
    <w:p>
      <w:pPr>
        <w:spacing w:after="240"/>
      </w:pPr>
      <w:r>
        <w:rPr>
          <w:sz w:val="2"/>
          <w:szCs w:val="2"/>
        </w:rPr>
        <w:t xml:space="preserve"/>
      </w:r>
    </w:p>
    <w:p>
      <w:pPr>
        <w:spacing w:after="160" w:before="200" w:line="276"/>
      </w:pPr>
      <w:r>
        <w:rPr>
          <w:rFonts w:ascii="Calibri" w:cs="Calibri" w:eastAsia="Calibri" w:hAnsi="Calibri"/>
          <w:color w:val="1A1A1A"/>
          <w:sz w:val="20"/>
          <w:szCs w:val="20"/>
        </w:rPr>
        <w:t xml:space="preserve">The cost model is a single Python script that emits every figure in this document from the rate table above. It is delivered alongside this file so the arithmetic can be audited, the assumptions changed, and the scenarios re-run once the Cost Explorer history in §11 action 1 is in hand.</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Calibri" w:cs="Calibri" w:eastAsia="Calibri" w:hAnsi="Calibri"/>
        <w:color w:val="5B6470"/>
        <w:sz w:val="15"/>
        <w:szCs w:val="15"/>
      </w:rPr>
      <w:t xml:space="preserve">Estimate for internal decision · list prices as at 3 September 2026 · page </w:t>
    </w:r>
    <w:r>
      <w:rPr>
        <w:rFonts w:ascii="Calibri" w:cs="Calibri" w:eastAsia="Calibri" w:hAnsi="Calibri"/>
        <w:color w:val="5B64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6" w:sz="4" w:space="6"/>
      </w:pBdr>
      <w:tabs>
        <w:tab w:val="right" w:pos="9360"/>
      </w:tabs>
      <w:spacing w:after="0"/>
    </w:pPr>
    <w:r>
      <w:rPr>
        <w:rFonts w:ascii="Calibri" w:cs="Calibri" w:eastAsia="Calibri" w:hAnsi="Calibri"/>
        <w:color w:val="5B6470"/>
        <w:sz w:val="16"/>
        <w:szCs w:val="16"/>
      </w:rPr>
      <w:t xml:space="preserve">Fabric — Production Deployment Cost Estimate</w:t>
    </w:r>
    <w:r>
      <w:rPr>
        <w:rFonts w:ascii="Calibri" w:cs="Calibri" w:eastAsia="Calibri" w:hAnsi="Calibri"/>
        <w:color w:val="5B6470"/>
        <w:sz w:val="16"/>
        <w:szCs w:val="16"/>
      </w:rPr>
      <w:t xml:space="preserve">	3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80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Fabric Production Deployment Cost</dc:title>
  <dc:creator>Fabric platform engineering</dc:creator>
  <dc:description>Production infrastructure and vendor cost estimate for the Fabric CPaaS platform, eu-west-1.</dc:description>
  <cp:lastModifiedBy>Un-named</cp:lastModifiedBy>
  <cp:revision>1</cp:revision>
  <dcterms:created xsi:type="dcterms:W3CDTF">2026-09-03T14:53:56.173Z</dcterms:created>
  <dcterms:modified xsi:type="dcterms:W3CDTF">2026-09-03T14:53:56.174Z</dcterms:modified>
</cp:coreProperties>
</file>

<file path=docProps/custom.xml><?xml version="1.0" encoding="utf-8"?>
<Properties xmlns="http://schemas.openxmlformats.org/officeDocument/2006/custom-properties" xmlns:vt="http://schemas.openxmlformats.org/officeDocument/2006/docPropsVTypes"/>
</file>