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</w:t>
        <w:tab/>
        <w:tab/>
        <w:t xml:space="preserve">    Client ID</w:t>
        <w:tab/>
        <w:tab/>
        <w:t xml:space="preserve">Client Secret</w:t>
        <w:tab/>
        <w:tab/>
        <w:tab/>
        <w:tab/>
        <w:t xml:space="preserve">         Redirect</w:t>
        <w:tab/>
      </w:r>
    </w:p>
    <w:tbl>
      <w:tblPr>
        <w:tblStyle w:val="Table1"/>
        <w:tblW w:w="902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.677553856845"/>
        <w:gridCol w:w="1826.0806115357886"/>
        <w:gridCol w:w="1844.9061848505905"/>
        <w:gridCol w:w="1731.952744961779"/>
        <w:gridCol w:w="552.2168172341903"/>
        <w:gridCol w:w="1349.1660875608063"/>
        <w:tblGridChange w:id="0">
          <w:tblGrid>
            <w:gridCol w:w="1725.677553856845"/>
            <w:gridCol w:w="1826.0806115357886"/>
            <w:gridCol w:w="1844.9061848505905"/>
            <w:gridCol w:w="1731.952744961779"/>
            <w:gridCol w:w="552.2168172341903"/>
            <w:gridCol w:w="1349.1660875608063"/>
          </w:tblGrid>
        </w:tblGridChange>
      </w:tblGrid>
      <w:tr>
        <w:trPr>
          <w:trHeight w:val="375" w:hRule="atLeast"/>
        </w:trPr>
        <w:tc>
          <w:tcPr>
            <w:tcBorders>
              <w:top w:color="e5ebf0" w:space="0" w:sz="6" w:val="single"/>
              <w:left w:color="e5ebf0" w:space="0" w:sz="6" w:val="single"/>
              <w:bottom w:color="e5ebf0" w:space="0" w:sz="6" w:val="single"/>
              <w:right w:color="e5ebf0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fadb5"/>
                <w:sz w:val="21"/>
                <w:szCs w:val="21"/>
              </w:rPr>
            </w:pPr>
            <w:r w:rsidDel="00000000" w:rsidR="00000000" w:rsidRPr="00000000">
              <w:rPr>
                <w:color w:val="9fadb5"/>
                <w:sz w:val="21"/>
                <w:szCs w:val="21"/>
                <w:rtl w:val="0"/>
              </w:rPr>
              <w:t xml:space="preserve">Fala UFS</w:t>
            </w:r>
          </w:p>
        </w:tc>
        <w:tc>
          <w:tcPr>
            <w:tcBorders>
              <w:top w:color="e5ebf0" w:space="0" w:sz="6" w:val="single"/>
              <w:left w:color="e5ebf0" w:space="0" w:sz="6" w:val="single"/>
              <w:bottom w:color="e5ebf0" w:space="0" w:sz="6" w:val="single"/>
              <w:right w:color="e5ebf0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fadb5"/>
                <w:sz w:val="21"/>
                <w:szCs w:val="21"/>
              </w:rPr>
            </w:pPr>
            <w:r w:rsidDel="00000000" w:rsidR="00000000" w:rsidRPr="00000000">
              <w:rPr>
                <w:color w:val="9fadb5"/>
                <w:sz w:val="21"/>
                <w:szCs w:val="21"/>
                <w:rtl w:val="0"/>
              </w:rPr>
              <w:t xml:space="preserve">e207dbdfaddf75a4d69c711cf63897e0</w:t>
            </w:r>
          </w:p>
        </w:tc>
        <w:tc>
          <w:tcPr>
            <w:tcBorders>
              <w:top w:color="e5ebf0" w:space="0" w:sz="6" w:val="single"/>
              <w:left w:color="e5ebf0" w:space="0" w:sz="6" w:val="single"/>
              <w:bottom w:color="e5ebf0" w:space="0" w:sz="6" w:val="single"/>
              <w:right w:color="e5ebf0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fadb5"/>
                <w:sz w:val="21"/>
                <w:szCs w:val="21"/>
              </w:rPr>
            </w:pPr>
            <w:r w:rsidDel="00000000" w:rsidR="00000000" w:rsidRPr="00000000">
              <w:rPr>
                <w:color w:val="9fadb5"/>
                <w:sz w:val="21"/>
                <w:szCs w:val="21"/>
                <w:rtl w:val="0"/>
              </w:rPr>
              <w:t xml:space="preserve">4c7fc1d5ca661e1ad6869544acd3487c</w:t>
            </w:r>
          </w:p>
        </w:tc>
        <w:tc>
          <w:tcPr>
            <w:tcBorders>
              <w:top w:color="e5ebf0" w:space="0" w:sz="6" w:val="single"/>
              <w:left w:color="e5ebf0" w:space="0" w:sz="6" w:val="single"/>
              <w:bottom w:color="e5ebf0" w:space="0" w:sz="6" w:val="single"/>
              <w:right w:color="e5ebf0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fadb5"/>
                <w:sz w:val="21"/>
                <w:szCs w:val="21"/>
              </w:rPr>
            </w:pPr>
            <w:r w:rsidDel="00000000" w:rsidR="00000000" w:rsidRPr="00000000">
              <w:rPr>
                <w:color w:val="9fadb5"/>
                <w:sz w:val="21"/>
                <w:szCs w:val="21"/>
                <w:rtl w:val="0"/>
              </w:rPr>
              <w:t xml:space="preserve">Aplicação para participação da comunidade da UFS em audiências públicas assíncronas.</w:t>
            </w:r>
          </w:p>
        </w:tc>
        <w:tc>
          <w:tcPr>
            <w:tcBorders>
              <w:top w:color="e5ebf0" w:space="0" w:sz="6" w:val="single"/>
              <w:left w:color="e5ebf0" w:space="0" w:sz="6" w:val="single"/>
              <w:bottom w:color="e5ebf0" w:space="0" w:sz="6" w:val="single"/>
              <w:right w:color="e5ebf0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fadb5"/>
                <w:sz w:val="21"/>
                <w:szCs w:val="21"/>
              </w:rPr>
            </w:pPr>
            <w:r w:rsidDel="00000000" w:rsidR="00000000" w:rsidRPr="00000000">
              <w:rPr>
                <w:color w:val="9fadb5"/>
                <w:sz w:val="21"/>
                <w:szCs w:val="21"/>
                <w:rtl w:val="0"/>
              </w:rPr>
              <w:t xml:space="preserve">PUBLIC</w:t>
            </w:r>
          </w:p>
        </w:tc>
        <w:tc>
          <w:tcPr>
            <w:tcBorders>
              <w:top w:color="e5ebf0" w:space="0" w:sz="6" w:val="single"/>
              <w:left w:color="e5ebf0" w:space="0" w:sz="6" w:val="single"/>
              <w:bottom w:color="e5ebf0" w:space="0" w:sz="6" w:val="single"/>
              <w:right w:color="e5ebf0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fadb5"/>
                <w:sz w:val="21"/>
                <w:szCs w:val="21"/>
              </w:rPr>
            </w:pPr>
            <w:r w:rsidDel="00000000" w:rsidR="00000000" w:rsidRPr="00000000">
              <w:rPr>
                <w:color w:val="9fadb5"/>
                <w:sz w:val="21"/>
                <w:szCs w:val="21"/>
                <w:rtl w:val="0"/>
              </w:rPr>
              <w:t xml:space="preserve">falaufs.azurewebsites.net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bfcf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