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688BC" w14:textId="77777777" w:rsidR="007D6BF4" w:rsidRPr="005738DF" w:rsidRDefault="00000000">
      <w:pPr>
        <w:spacing w:before="1440" w:after="80"/>
        <w:jc w:val="center"/>
      </w:pPr>
      <w:r>
        <w:rPr>
          <w:b/>
          <w:bCs/>
          <w:color w:val="000000"/>
          <w:sz w:val="28"/>
          <w:szCs w:val="28"/>
        </w:rPr>
        <w:t>UNIVERSITY OF RWANDA</w:t>
      </w:r>
    </w:p>
    <w:p w14:paraId="595881EA" w14:textId="30CE5CB9" w:rsidR="007D6BF4" w:rsidRDefault="00000000">
      <w:pPr>
        <w:spacing w:after="80"/>
        <w:jc w:val="center"/>
      </w:pPr>
      <w:r>
        <w:rPr>
          <w:b/>
          <w:bCs/>
          <w:color w:val="000000"/>
        </w:rPr>
        <w:t xml:space="preserve">COLLEGE OF </w:t>
      </w:r>
      <w:r w:rsidR="005738DF">
        <w:rPr>
          <w:b/>
          <w:bCs/>
          <w:color w:val="000000"/>
        </w:rPr>
        <w:t>BUSINESS AND ECONOMICS</w:t>
      </w:r>
    </w:p>
    <w:p w14:paraId="337CE43F" w14:textId="6CA6527C" w:rsidR="007D6BF4" w:rsidRDefault="00000000">
      <w:pPr>
        <w:spacing w:after="80"/>
        <w:jc w:val="center"/>
      </w:pPr>
      <w:r>
        <w:rPr>
          <w:b/>
          <w:bCs/>
          <w:color w:val="000000"/>
        </w:rPr>
        <w:t xml:space="preserve">SCHOOL OF </w:t>
      </w:r>
      <w:r w:rsidR="005738DF">
        <w:rPr>
          <w:b/>
          <w:bCs/>
          <w:color w:val="000000"/>
        </w:rPr>
        <w:t>ECONOMICS</w:t>
      </w:r>
    </w:p>
    <w:p w14:paraId="594D107D" w14:textId="77777777" w:rsidR="007D6BF4" w:rsidRDefault="00000000">
      <w:pPr>
        <w:spacing w:after="360"/>
        <w:jc w:val="center"/>
      </w:pPr>
      <w:r>
        <w:rPr>
          <w:b/>
          <w:bCs/>
          <w:color w:val="000000"/>
        </w:rPr>
        <w:t>DEPARTMENT OF APPLIED STATISTICS</w:t>
      </w:r>
    </w:p>
    <w:p w14:paraId="7C7E6FD0" w14:textId="77777777" w:rsidR="007D6BF4" w:rsidRDefault="00000000">
      <w:pPr>
        <w:spacing w:after="360"/>
        <w:jc w:val="center"/>
      </w:pPr>
      <w:r>
        <w:rPr>
          <w:b/>
          <w:bCs/>
          <w:color w:val="000000"/>
          <w:sz w:val="26"/>
          <w:szCs w:val="26"/>
        </w:rPr>
        <w:t>UNDERGRADUATE DISSERTATION PROPOSAL</w:t>
      </w:r>
    </w:p>
    <w:p w14:paraId="199467B1" w14:textId="77777777" w:rsidR="007D6BF4" w:rsidRDefault="00000000">
      <w:pPr>
        <w:spacing w:after="80"/>
        <w:jc w:val="center"/>
      </w:pPr>
      <w:r>
        <w:rPr>
          <w:b/>
          <w:bCs/>
          <w:color w:val="000000"/>
        </w:rPr>
        <w:t>TITLE:</w:t>
      </w:r>
    </w:p>
    <w:p w14:paraId="6D5A9EC8" w14:textId="77777777" w:rsidR="007D6BF4" w:rsidRDefault="00000000">
      <w:pPr>
        <w:spacing w:after="40"/>
        <w:jc w:val="center"/>
      </w:pPr>
      <w:r>
        <w:rPr>
          <w:b/>
          <w:bCs/>
          <w:color w:val="000000"/>
          <w:sz w:val="26"/>
          <w:szCs w:val="26"/>
        </w:rPr>
        <w:t>DEMOGRAPHIC AND SOCIOECONOMIC DETERMINANTS OF HOUSEHOLD</w:t>
      </w:r>
    </w:p>
    <w:p w14:paraId="488A4250" w14:textId="77777777" w:rsidR="007D6BF4" w:rsidRDefault="00000000">
      <w:pPr>
        <w:spacing w:after="480"/>
        <w:jc w:val="center"/>
      </w:pPr>
      <w:r>
        <w:rPr>
          <w:b/>
          <w:bCs/>
          <w:color w:val="000000"/>
          <w:sz w:val="26"/>
          <w:szCs w:val="26"/>
        </w:rPr>
        <w:t>POVERTY IN RWANDA: EVIDENCE FROM EICV7 (2023–2024)</w:t>
      </w:r>
    </w:p>
    <w:p w14:paraId="4E4A6C93" w14:textId="77777777" w:rsidR="007D6BF4" w:rsidRDefault="00000000">
      <w:pPr>
        <w:spacing w:after="80"/>
        <w:jc w:val="center"/>
      </w:pPr>
      <w:r>
        <w:rPr>
          <w:b/>
          <w:bCs/>
          <w:color w:val="000000"/>
          <w:sz w:val="22"/>
          <w:szCs w:val="22"/>
        </w:rPr>
        <w:t>Prepared by:</w:t>
      </w:r>
    </w:p>
    <w:p w14:paraId="18341CDF" w14:textId="77777777" w:rsidR="007D6BF4" w:rsidRDefault="00000000">
      <w:pPr>
        <w:spacing w:after="80"/>
        <w:jc w:val="center"/>
      </w:pPr>
      <w:r>
        <w:rPr>
          <w:b/>
          <w:bCs/>
          <w:color w:val="000000"/>
        </w:rPr>
        <w:t>Niyonsaba Fabrice</w:t>
      </w:r>
    </w:p>
    <w:p w14:paraId="224445D8" w14:textId="399F9D0D" w:rsidR="007D6BF4" w:rsidRDefault="00000000">
      <w:pPr>
        <w:spacing w:after="80"/>
        <w:jc w:val="center"/>
      </w:pPr>
      <w:r>
        <w:rPr>
          <w:color w:val="000000"/>
          <w:sz w:val="22"/>
          <w:szCs w:val="22"/>
        </w:rPr>
        <w:t xml:space="preserve">Registration Number: </w:t>
      </w:r>
      <w:r w:rsidR="005738DF">
        <w:rPr>
          <w:color w:val="000000"/>
          <w:sz w:val="22"/>
          <w:szCs w:val="22"/>
        </w:rPr>
        <w:t>222007705</w:t>
      </w:r>
    </w:p>
    <w:p w14:paraId="3038371A" w14:textId="3C95FC9F" w:rsidR="007D6BF4" w:rsidRDefault="00000000">
      <w:pPr>
        <w:spacing w:after="480"/>
        <w:jc w:val="center"/>
      </w:pPr>
      <w:r>
        <w:rPr>
          <w:color w:val="000000"/>
          <w:sz w:val="22"/>
          <w:szCs w:val="22"/>
        </w:rPr>
        <w:t xml:space="preserve">Supervisor: </w:t>
      </w:r>
      <w:r w:rsidR="005738DF">
        <w:rPr>
          <w:color w:val="000000"/>
          <w:sz w:val="22"/>
          <w:szCs w:val="22"/>
        </w:rPr>
        <w:t>MWERURI</w:t>
      </w:r>
      <w:r w:rsidR="00B875B9">
        <w:rPr>
          <w:color w:val="000000"/>
          <w:sz w:val="22"/>
          <w:szCs w:val="22"/>
        </w:rPr>
        <w:t xml:space="preserve"> Fidel</w:t>
      </w:r>
      <w:r w:rsidR="00A43314">
        <w:rPr>
          <w:color w:val="000000"/>
          <w:sz w:val="22"/>
          <w:szCs w:val="22"/>
        </w:rPr>
        <w:t>e</w:t>
      </w:r>
    </w:p>
    <w:p w14:paraId="77A6ACCB" w14:textId="1A713D2E" w:rsidR="007D6BF4" w:rsidRDefault="00B875B9">
      <w:pPr>
        <w:spacing w:after="80"/>
        <w:jc w:val="center"/>
      </w:pPr>
      <w:r>
        <w:rPr>
          <w:color w:val="000000"/>
          <w:sz w:val="22"/>
          <w:szCs w:val="22"/>
        </w:rPr>
        <w:t>Huye, Rwanda</w:t>
      </w:r>
    </w:p>
    <w:p w14:paraId="503FEB78" w14:textId="77777777" w:rsidR="007D6BF4" w:rsidRDefault="00000000">
      <w:pPr>
        <w:spacing w:after="120"/>
        <w:jc w:val="center"/>
      </w:pPr>
      <w:r>
        <w:rPr>
          <w:b/>
          <w:bCs/>
          <w:color w:val="000000"/>
          <w:sz w:val="22"/>
          <w:szCs w:val="22"/>
        </w:rPr>
        <w:t>2026</w:t>
      </w:r>
    </w:p>
    <w:p w14:paraId="3F394105" w14:textId="77777777" w:rsidR="007D6BF4" w:rsidRDefault="007D6BF4">
      <w:pPr>
        <w:pageBreakBefore/>
      </w:pPr>
    </w:p>
    <w:p w14:paraId="12804246" w14:textId="77777777" w:rsidR="007D6BF4" w:rsidRDefault="00000000">
      <w:pPr>
        <w:pStyle w:val="Heading1"/>
      </w:pPr>
      <w:r>
        <w:t>CHAPTER ONE: INTRODUCTION</w:t>
      </w:r>
    </w:p>
    <w:p w14:paraId="5D7B28A8" w14:textId="77777777" w:rsidR="007D6BF4" w:rsidRDefault="00000000">
      <w:pPr>
        <w:pStyle w:val="Heading2"/>
      </w:pPr>
      <w:r>
        <w:t>1.1 Background of the Study</w:t>
      </w:r>
    </w:p>
    <w:p w14:paraId="58D39BD5" w14:textId="77777777" w:rsidR="007D6BF4" w:rsidRDefault="00000000">
      <w:pPr>
        <w:spacing w:after="160"/>
        <w:ind w:firstLine="720"/>
        <w:jc w:val="both"/>
      </w:pPr>
      <w:r>
        <w:t>Poverty is one of the biggest challenges facing developing countries around the world. Even though many countries have made progress in growing their economies, millions of households in sub-Saharan Africa still live below the poverty line. They struggle to access basic services, productive resources, and decent economic opportunities. Understanding which demographic and socioeconomic factors drive household poverty is therefore essential for designing effective policies to reduce it.</w:t>
      </w:r>
    </w:p>
    <w:p w14:paraId="490E1C4F" w14:textId="77777777" w:rsidR="007D6BF4" w:rsidRDefault="00000000">
      <w:pPr>
        <w:spacing w:after="160"/>
        <w:ind w:firstLine="720"/>
        <w:jc w:val="both"/>
      </w:pPr>
      <w:r>
        <w:t>According to the World Bank (2023), about 700 million people worldwide still live in extreme poverty, surviving on less than USD 2.15 per day. Sub-Saharan Africa carries the heaviest burden, accounting for roughly 60 per cent of the world's extreme poor, even though the region represents only about 15 per cent of the global population. Poverty in this region is shaped by many interconnected factors, including low levels of education, rapid population growth, gender inequality, limited access to formal jobs, and inadequate infrastructure (World Bank, 2023; UNDP, 2022).</w:t>
      </w:r>
    </w:p>
    <w:p w14:paraId="3D60EC0D" w14:textId="6BF923EA" w:rsidR="007D6BF4" w:rsidRDefault="00000000">
      <w:pPr>
        <w:spacing w:after="160"/>
        <w:ind w:firstLine="720"/>
        <w:jc w:val="both"/>
      </w:pPr>
      <w:r>
        <w:t xml:space="preserve">Rwanda has made remarkable progress in fighting poverty since the 1994 genocide against the Tutsi. Through sustained economic growth averaging around 7 per cent per year, targeted social protection </w:t>
      </w:r>
      <w:proofErr w:type="spellStart"/>
      <w:r>
        <w:t>programmes</w:t>
      </w:r>
      <w:proofErr w:type="spellEnd"/>
      <w:r>
        <w:t xml:space="preserve"> such as </w:t>
      </w:r>
      <w:proofErr w:type="spellStart"/>
      <w:r>
        <w:t>Ubudehe</w:t>
      </w:r>
      <w:proofErr w:type="spellEnd"/>
      <w:r>
        <w:t xml:space="preserve"> and the Vision </w:t>
      </w:r>
      <w:proofErr w:type="spellStart"/>
      <w:r>
        <w:t>Umurenge</w:t>
      </w:r>
      <w:proofErr w:type="spellEnd"/>
      <w:r>
        <w:t xml:space="preserve"> </w:t>
      </w:r>
      <w:proofErr w:type="spellStart"/>
      <w:proofErr w:type="gramStart"/>
      <w:r w:rsidR="00A43314">
        <w:t>Programme</w:t>
      </w:r>
      <w:proofErr w:type="spellEnd"/>
      <w:r>
        <w:t>(</w:t>
      </w:r>
      <w:proofErr w:type="gramEnd"/>
      <w:r>
        <w:t>VUP), and major investments in health and education, Rwanda reduced its national poverty rate from 44.9 per cent in 2010–11 to 38.2 per cent in 2016–17 (NISR, 2018). The Seventh Integrated Household Living Conditions Survey (EICV7), conducted in 2023–2024, provides the most recent nationally representative data on household welfare and living conditions in Rwanda, making it the best available resource for understanding poverty today.</w:t>
      </w:r>
    </w:p>
    <w:p w14:paraId="4A4C7109" w14:textId="3D0BC92E" w:rsidR="007D6BF4" w:rsidRDefault="00000000">
      <w:pPr>
        <w:spacing w:after="160"/>
        <w:ind w:firstLine="720"/>
        <w:jc w:val="both"/>
      </w:pPr>
      <w:r>
        <w:t xml:space="preserve">However, despite this progress, a large share of Rwandan households remains poor or at risk of falling into poverty. Poverty is not spread evenly across the </w:t>
      </w:r>
      <w:proofErr w:type="gramStart"/>
      <w:r>
        <w:t>country</w:t>
      </w:r>
      <w:proofErr w:type="gramEnd"/>
      <w:r>
        <w:t xml:space="preserve"> it varies by province, urban or rural location, household composition, and the characteristics of the household head. Research consistently shows that households headed by women, elderly people, those with little or no education, or those relying on subsistence farming face significantly higher poverty risks than other groups (NISR, 2018; </w:t>
      </w:r>
      <w:proofErr w:type="spellStart"/>
      <w:r>
        <w:t>Munyemana</w:t>
      </w:r>
      <w:proofErr w:type="spellEnd"/>
      <w:r>
        <w:t xml:space="preserve"> &amp; </w:t>
      </w:r>
      <w:proofErr w:type="spellStart"/>
      <w:r>
        <w:t>Habimana</w:t>
      </w:r>
      <w:proofErr w:type="spellEnd"/>
      <w:r>
        <w:t>, 2020).</w:t>
      </w:r>
    </w:p>
    <w:p w14:paraId="71993697" w14:textId="32C9D34A" w:rsidR="007D6BF4" w:rsidRDefault="00000000">
      <w:pPr>
        <w:spacing w:after="160"/>
        <w:ind w:firstLine="720"/>
        <w:jc w:val="both"/>
      </w:pPr>
      <w:r>
        <w:t xml:space="preserve">The demographic make-up of households also plays an important role in poverty outcomes. Rwanda is one of the most densely populated countries in Africa, with approximately 525 people per square </w:t>
      </w:r>
      <w:r w:rsidR="00A43314">
        <w:t>kilometer</w:t>
      </w:r>
      <w:r>
        <w:t xml:space="preserve"> and a predominantly young population (World Bank, 2023). A high dependency </w:t>
      </w:r>
      <w:proofErr w:type="gramStart"/>
      <w:r>
        <w:t>ratio  where</w:t>
      </w:r>
      <w:proofErr w:type="gramEnd"/>
      <w:r>
        <w:t xml:space="preserve"> many children and elderly </w:t>
      </w:r>
      <w:proofErr w:type="spellStart"/>
      <w:r>
        <w:t>dependants</w:t>
      </w:r>
      <w:proofErr w:type="spellEnd"/>
      <w:r>
        <w:t xml:space="preserve"> must be supported by a small number of working-age household members is linked to lower household consumption and greater poverty risk (Nkurunziza et al., 2019). Household size also matters, as larger households may struggle with limited resources unless additional members contribute meaningfully to household income.</w:t>
      </w:r>
    </w:p>
    <w:p w14:paraId="1DD03445" w14:textId="77777777" w:rsidR="007D6BF4" w:rsidRDefault="00000000">
      <w:pPr>
        <w:spacing w:after="160"/>
        <w:ind w:firstLine="720"/>
        <w:jc w:val="both"/>
      </w:pPr>
      <w:r>
        <w:t xml:space="preserve">The EICV series, conducted regularly by the National Institute of Statistics of Rwanda (NISR), collects nationally representative data on household spending, income, and a wide range </w:t>
      </w:r>
      <w:r>
        <w:lastRenderedPageBreak/>
        <w:t>of demographic and socioeconomic variables. This study uses the most recent EICV7 (2023–2024) data to examine which demographic and socioeconomic factors determine whether a household is poor, using binary logistic regression as the main statistical method.</w:t>
      </w:r>
    </w:p>
    <w:p w14:paraId="577206D1" w14:textId="77777777" w:rsidR="007D6BF4" w:rsidRDefault="00000000">
      <w:pPr>
        <w:pStyle w:val="Heading2"/>
      </w:pPr>
      <w:r>
        <w:t>1.2 Problem Statement</w:t>
      </w:r>
    </w:p>
    <w:p w14:paraId="4C7C7244" w14:textId="03BB8272" w:rsidR="007D6BF4" w:rsidRDefault="00000000">
      <w:pPr>
        <w:spacing w:after="160"/>
        <w:ind w:firstLine="720"/>
        <w:jc w:val="both"/>
      </w:pPr>
      <w:r>
        <w:t xml:space="preserve">Despite Rwanda's strong economic growth and determined poverty reduction efforts under Vision 2020 and Vision 2050, a significant share of households remains poor. While national poverty figures are well documented in EICV reports, there is still a gap in our detailed understanding of which specific demographic and socioeconomic characteristics most strongly predict whether a household will be </w:t>
      </w:r>
      <w:proofErr w:type="gramStart"/>
      <w:r>
        <w:t>poor  and</w:t>
      </w:r>
      <w:proofErr w:type="gramEnd"/>
      <w:r>
        <w:t xml:space="preserve"> by how much.</w:t>
      </w:r>
    </w:p>
    <w:p w14:paraId="5D387B95" w14:textId="77777777" w:rsidR="007D6BF4" w:rsidRDefault="00000000">
      <w:pPr>
        <w:spacing w:after="160"/>
        <w:ind w:firstLine="720"/>
        <w:jc w:val="both"/>
      </w:pPr>
      <w:r>
        <w:t>Most existing studies on poverty determinants in Rwanda (</w:t>
      </w:r>
      <w:proofErr w:type="spellStart"/>
      <w:r>
        <w:t>Munyemana</w:t>
      </w:r>
      <w:proofErr w:type="spellEnd"/>
      <w:r>
        <w:t xml:space="preserve"> &amp; </w:t>
      </w:r>
      <w:proofErr w:type="spellStart"/>
      <w:r>
        <w:t>Habimana</w:t>
      </w:r>
      <w:proofErr w:type="spellEnd"/>
      <w:r>
        <w:t>, 2020; Nkurunziza et al., 2019) have used data from earlier EICV rounds and have not fully explored the combined influence of a broad set of demographic and socioeconomic variables within a single statistical model. As a result, poverty targeting remains less precise than it could be, and social protection investments may not reach the most vulnerable households as effectively as intended.</w:t>
      </w:r>
    </w:p>
    <w:p w14:paraId="5AE9FE03" w14:textId="77777777" w:rsidR="007D6BF4" w:rsidRDefault="00000000">
      <w:pPr>
        <w:spacing w:after="160"/>
        <w:ind w:firstLine="720"/>
        <w:jc w:val="both"/>
      </w:pPr>
      <w:r>
        <w:t>There is therefore a clear need for an updated, comprehensive analysis of household poverty determinants in Rwanda using the most recent EICV7 data and appropriate statistical methods. The findings of this study will provide policymakers, development partners, and researchers with practical, evidence-based guidance to accelerate poverty reduction in line with Rwanda's Vision 2050 and the Sustainable Development Goals (SDGs).</w:t>
      </w:r>
    </w:p>
    <w:p w14:paraId="5DC28EBB" w14:textId="77777777" w:rsidR="007D6BF4" w:rsidRDefault="00000000">
      <w:pPr>
        <w:pStyle w:val="Heading2"/>
      </w:pPr>
      <w:r>
        <w:t>1.3 Research Objectives</w:t>
      </w:r>
    </w:p>
    <w:p w14:paraId="0BEA8D61" w14:textId="77777777" w:rsidR="007D6BF4" w:rsidRDefault="00000000">
      <w:pPr>
        <w:pStyle w:val="Heading3"/>
      </w:pPr>
      <w:r>
        <w:t>General Objective</w:t>
      </w:r>
    </w:p>
    <w:p w14:paraId="403E75DD" w14:textId="77777777" w:rsidR="007D6BF4" w:rsidRDefault="00000000">
      <w:pPr>
        <w:spacing w:after="160"/>
        <w:ind w:firstLine="720"/>
        <w:jc w:val="both"/>
      </w:pPr>
      <w:r>
        <w:t>To examine the demographic and socioeconomic determinants of household poverty in Rwanda using data from the Seventh Integrated Household Living Conditions Survey (EICV7, 2023–2024).</w:t>
      </w:r>
    </w:p>
    <w:p w14:paraId="373C7EE5" w14:textId="77777777" w:rsidR="007D6BF4" w:rsidRDefault="00000000">
      <w:pPr>
        <w:pStyle w:val="Heading3"/>
      </w:pPr>
      <w:r>
        <w:t>Specific Objectives</w:t>
      </w:r>
    </w:p>
    <w:p w14:paraId="26DCE857" w14:textId="77777777" w:rsidR="007D6BF4" w:rsidRDefault="00000000">
      <w:pPr>
        <w:pStyle w:val="ListParagraph"/>
        <w:numPr>
          <w:ilvl w:val="0"/>
          <w:numId w:val="2"/>
        </w:numPr>
        <w:spacing w:before="60" w:after="60"/>
        <w:jc w:val="both"/>
      </w:pPr>
      <w:r>
        <w:t>To describe the demographic and socioeconomic characteristics of Rwandan households in the EICV7 sample.</w:t>
      </w:r>
    </w:p>
    <w:p w14:paraId="03CA2095" w14:textId="5CBF0DD8" w:rsidR="007D6BF4" w:rsidRDefault="00000000">
      <w:pPr>
        <w:pStyle w:val="ListParagraph"/>
        <w:numPr>
          <w:ilvl w:val="0"/>
          <w:numId w:val="2"/>
        </w:numPr>
        <w:spacing w:before="60" w:after="60"/>
        <w:jc w:val="both"/>
      </w:pPr>
      <w:r>
        <w:t xml:space="preserve">To determine how demographic </w:t>
      </w:r>
      <w:proofErr w:type="gramStart"/>
      <w:r>
        <w:t>factors  including</w:t>
      </w:r>
      <w:proofErr w:type="gramEnd"/>
      <w:r>
        <w:t xml:space="preserve"> age, sex, marital status, household size, and dependency ratio are associated with household poverty status.</w:t>
      </w:r>
    </w:p>
    <w:p w14:paraId="7C50B8D6" w14:textId="4447A029" w:rsidR="007D6BF4" w:rsidRDefault="00000000">
      <w:pPr>
        <w:pStyle w:val="ListParagraph"/>
        <w:numPr>
          <w:ilvl w:val="0"/>
          <w:numId w:val="2"/>
        </w:numPr>
        <w:spacing w:before="60" w:after="60"/>
        <w:jc w:val="both"/>
      </w:pPr>
      <w:r>
        <w:t xml:space="preserve">To assess how socioeconomic </w:t>
      </w:r>
      <w:proofErr w:type="gramStart"/>
      <w:r>
        <w:t>factors  including</w:t>
      </w:r>
      <w:proofErr w:type="gramEnd"/>
      <w:r>
        <w:t xml:space="preserve"> education level, employment status, place of residence, access to electricity, and land </w:t>
      </w:r>
      <w:proofErr w:type="gramStart"/>
      <w:r>
        <w:t>ownership  influence</w:t>
      </w:r>
      <w:proofErr w:type="gramEnd"/>
      <w:r>
        <w:t xml:space="preserve"> household poverty status.</w:t>
      </w:r>
    </w:p>
    <w:p w14:paraId="3FCFD93C" w14:textId="77777777" w:rsidR="007D6BF4" w:rsidRDefault="00000000">
      <w:pPr>
        <w:pStyle w:val="ListParagraph"/>
        <w:numPr>
          <w:ilvl w:val="0"/>
          <w:numId w:val="2"/>
        </w:numPr>
        <w:spacing w:before="60" w:after="60"/>
        <w:jc w:val="both"/>
      </w:pPr>
      <w:r>
        <w:t>To develop and evaluate a binary logistic regression model that predicts household poverty status based on these demographic and socioeconomic variables.</w:t>
      </w:r>
    </w:p>
    <w:p w14:paraId="23CDB76D" w14:textId="77777777" w:rsidR="007D6BF4" w:rsidRDefault="007D6BF4">
      <w:pPr>
        <w:spacing w:after="80"/>
      </w:pPr>
    </w:p>
    <w:p w14:paraId="2602A844" w14:textId="77777777" w:rsidR="007D6BF4" w:rsidRDefault="00000000">
      <w:pPr>
        <w:pStyle w:val="Heading2"/>
      </w:pPr>
      <w:r>
        <w:t>1.4 Research Questions</w:t>
      </w:r>
    </w:p>
    <w:p w14:paraId="4EFE001C" w14:textId="77777777" w:rsidR="007D6BF4" w:rsidRDefault="00000000">
      <w:pPr>
        <w:pStyle w:val="ListParagraph"/>
        <w:numPr>
          <w:ilvl w:val="0"/>
          <w:numId w:val="2"/>
        </w:numPr>
        <w:spacing w:before="60" w:after="60"/>
        <w:jc w:val="both"/>
      </w:pPr>
      <w:r>
        <w:lastRenderedPageBreak/>
        <w:t>What are the demographic and socioeconomic characteristics of Rwandan households as captured in the EICV7 survey?</w:t>
      </w:r>
    </w:p>
    <w:p w14:paraId="01570FFC" w14:textId="77777777" w:rsidR="007D6BF4" w:rsidRDefault="00000000">
      <w:pPr>
        <w:pStyle w:val="ListParagraph"/>
        <w:numPr>
          <w:ilvl w:val="0"/>
          <w:numId w:val="2"/>
        </w:numPr>
        <w:spacing w:before="60" w:after="60"/>
        <w:jc w:val="both"/>
      </w:pPr>
      <w:r>
        <w:t>Which demographic factors significantly influence household poverty status in Rwanda?</w:t>
      </w:r>
    </w:p>
    <w:p w14:paraId="040CF9E9" w14:textId="77777777" w:rsidR="007D6BF4" w:rsidRDefault="00000000">
      <w:pPr>
        <w:pStyle w:val="ListParagraph"/>
        <w:numPr>
          <w:ilvl w:val="0"/>
          <w:numId w:val="2"/>
        </w:numPr>
        <w:spacing w:before="60" w:after="60"/>
        <w:jc w:val="both"/>
      </w:pPr>
      <w:r>
        <w:t>Which socioeconomic factors significantly influence household poverty status in Rwanda?</w:t>
      </w:r>
    </w:p>
    <w:p w14:paraId="00DC1E71" w14:textId="77777777" w:rsidR="007D6BF4" w:rsidRDefault="00000000">
      <w:pPr>
        <w:pStyle w:val="ListParagraph"/>
        <w:numPr>
          <w:ilvl w:val="0"/>
          <w:numId w:val="2"/>
        </w:numPr>
        <w:spacing w:before="60" w:after="60"/>
        <w:jc w:val="both"/>
      </w:pPr>
      <w:r>
        <w:t>How accurately can household poverty status be predicted using demographic and socioeconomic variables in a logistic regression model?</w:t>
      </w:r>
    </w:p>
    <w:p w14:paraId="178875E8" w14:textId="77777777" w:rsidR="007D6BF4" w:rsidRDefault="007D6BF4">
      <w:pPr>
        <w:spacing w:after="80"/>
      </w:pPr>
    </w:p>
    <w:p w14:paraId="691FF6DC" w14:textId="77777777" w:rsidR="007D6BF4" w:rsidRDefault="00000000">
      <w:pPr>
        <w:pStyle w:val="Heading2"/>
      </w:pPr>
      <w:r>
        <w:t>1.5 Research Hypotheses</w:t>
      </w:r>
    </w:p>
    <w:p w14:paraId="0A4E44EF" w14:textId="77777777" w:rsidR="007D6BF4" w:rsidRDefault="00000000">
      <w:pPr>
        <w:pStyle w:val="Heading3"/>
      </w:pPr>
      <w:r>
        <w:t>Hypothesis 1: Sex of Household Head and Poverty</w:t>
      </w:r>
    </w:p>
    <w:p w14:paraId="77B728F0" w14:textId="77777777" w:rsidR="007D6BF4" w:rsidRDefault="00000000">
      <w:pPr>
        <w:spacing w:after="160"/>
        <w:ind w:firstLine="720"/>
        <w:jc w:val="both"/>
      </w:pPr>
      <w:r>
        <w:t>H₀: The sex of the household head has no significant effect on household poverty status.</w:t>
      </w:r>
    </w:p>
    <w:p w14:paraId="48AA6E28" w14:textId="77777777" w:rsidR="007D6BF4" w:rsidRDefault="00000000">
      <w:pPr>
        <w:spacing w:after="160"/>
        <w:ind w:firstLine="720"/>
        <w:jc w:val="both"/>
      </w:pPr>
      <w:r>
        <w:t>H₁: Female-headed households are significantly more likely to be poor than male-headed households.</w:t>
      </w:r>
    </w:p>
    <w:p w14:paraId="4D50CED2" w14:textId="77777777" w:rsidR="007D6BF4" w:rsidRDefault="00000000">
      <w:pPr>
        <w:pStyle w:val="Heading3"/>
      </w:pPr>
      <w:r>
        <w:t>Hypothesis 2: Education Level and Poverty</w:t>
      </w:r>
    </w:p>
    <w:p w14:paraId="301B2369" w14:textId="77777777" w:rsidR="007D6BF4" w:rsidRDefault="00000000">
      <w:pPr>
        <w:spacing w:after="160"/>
        <w:ind w:firstLine="720"/>
        <w:jc w:val="both"/>
      </w:pPr>
      <w:r>
        <w:t>H₀: The education level of the household head has no significant effect on household poverty status.</w:t>
      </w:r>
    </w:p>
    <w:p w14:paraId="1C2A33CF" w14:textId="77777777" w:rsidR="007D6BF4" w:rsidRDefault="00000000">
      <w:pPr>
        <w:spacing w:after="160"/>
        <w:ind w:firstLine="720"/>
        <w:jc w:val="both"/>
      </w:pPr>
      <w:r>
        <w:t>H₁: A higher education level of the household head is significantly associated with a lower probability of household poverty.</w:t>
      </w:r>
    </w:p>
    <w:p w14:paraId="1A125CAD" w14:textId="77777777" w:rsidR="007D6BF4" w:rsidRDefault="00000000">
      <w:pPr>
        <w:pStyle w:val="Heading3"/>
      </w:pPr>
      <w:r>
        <w:t>Hypothesis 3: Place of Residence and Poverty</w:t>
      </w:r>
    </w:p>
    <w:p w14:paraId="4D7A0F78" w14:textId="77777777" w:rsidR="007D6BF4" w:rsidRDefault="00000000">
      <w:pPr>
        <w:spacing w:after="160"/>
        <w:ind w:firstLine="720"/>
        <w:jc w:val="both"/>
      </w:pPr>
      <w:r>
        <w:t>H₀: Place of residence has no significant effect on household poverty status.</w:t>
      </w:r>
    </w:p>
    <w:p w14:paraId="5EB05864" w14:textId="77777777" w:rsidR="007D6BF4" w:rsidRDefault="00000000">
      <w:pPr>
        <w:spacing w:after="160"/>
        <w:ind w:firstLine="720"/>
        <w:jc w:val="both"/>
      </w:pPr>
      <w:r>
        <w:t>H₁: Rural households are significantly more likely to be poor than urban households.</w:t>
      </w:r>
    </w:p>
    <w:p w14:paraId="2E3BE073" w14:textId="77777777" w:rsidR="007D6BF4" w:rsidRDefault="00000000">
      <w:pPr>
        <w:pStyle w:val="Heading3"/>
      </w:pPr>
      <w:r>
        <w:t>Hypothesis 4: Household Size and Poverty</w:t>
      </w:r>
    </w:p>
    <w:p w14:paraId="4A1E79BD" w14:textId="77777777" w:rsidR="007D6BF4" w:rsidRDefault="00000000">
      <w:pPr>
        <w:spacing w:after="160"/>
        <w:ind w:firstLine="720"/>
        <w:jc w:val="both"/>
      </w:pPr>
      <w:r>
        <w:t>H₀: Household size has no significant effect on household poverty status.</w:t>
      </w:r>
    </w:p>
    <w:p w14:paraId="0E3118F6" w14:textId="77777777" w:rsidR="007D6BF4" w:rsidRDefault="00000000">
      <w:pPr>
        <w:spacing w:after="160"/>
        <w:ind w:firstLine="720"/>
        <w:jc w:val="both"/>
      </w:pPr>
      <w:r>
        <w:t>H₁: Larger household size is significantly associated with a higher probability of household poverty.</w:t>
      </w:r>
    </w:p>
    <w:p w14:paraId="0C974BEB" w14:textId="77777777" w:rsidR="007D6BF4" w:rsidRDefault="00000000">
      <w:pPr>
        <w:pStyle w:val="Heading3"/>
      </w:pPr>
      <w:r>
        <w:t>Hypothesis 5: Employment Status and Poverty</w:t>
      </w:r>
    </w:p>
    <w:p w14:paraId="234832D7" w14:textId="77777777" w:rsidR="007D6BF4" w:rsidRDefault="00000000">
      <w:pPr>
        <w:spacing w:after="160"/>
        <w:ind w:firstLine="720"/>
        <w:jc w:val="both"/>
      </w:pPr>
      <w:r>
        <w:t>H₀: The employment status of the household head has no significant effect on household poverty status.</w:t>
      </w:r>
    </w:p>
    <w:p w14:paraId="23D32BFD" w14:textId="77777777" w:rsidR="007D6BF4" w:rsidRDefault="00000000">
      <w:pPr>
        <w:spacing w:after="160"/>
        <w:ind w:firstLine="720"/>
        <w:jc w:val="both"/>
      </w:pPr>
      <w:r>
        <w:t>H₁: Unemployed household heads are significantly more likely to live in poor households than employed household heads.</w:t>
      </w:r>
    </w:p>
    <w:p w14:paraId="774B4021" w14:textId="77777777" w:rsidR="007D6BF4" w:rsidRDefault="00000000">
      <w:pPr>
        <w:pStyle w:val="Heading3"/>
      </w:pPr>
      <w:r>
        <w:t>Hypothesis 6: Access to Electricity and Poverty</w:t>
      </w:r>
    </w:p>
    <w:p w14:paraId="1CE82D2C" w14:textId="77777777" w:rsidR="007D6BF4" w:rsidRDefault="00000000">
      <w:pPr>
        <w:spacing w:after="160"/>
        <w:ind w:firstLine="720"/>
        <w:jc w:val="both"/>
      </w:pPr>
      <w:r>
        <w:t>H₀: Access to electricity has no significant association with household poverty status.</w:t>
      </w:r>
    </w:p>
    <w:p w14:paraId="1219BC24" w14:textId="77777777" w:rsidR="007D6BF4" w:rsidRDefault="00000000">
      <w:pPr>
        <w:spacing w:after="160"/>
        <w:ind w:firstLine="720"/>
        <w:jc w:val="both"/>
      </w:pPr>
      <w:r>
        <w:t>H₁: Households without electricity are significantly more likely to be poor than those with access.</w:t>
      </w:r>
    </w:p>
    <w:p w14:paraId="00536BAD" w14:textId="77777777" w:rsidR="007D6BF4" w:rsidRDefault="00000000">
      <w:pPr>
        <w:pStyle w:val="Heading2"/>
      </w:pPr>
      <w:r>
        <w:lastRenderedPageBreak/>
        <w:t>1.6 Significance of the Study</w:t>
      </w:r>
    </w:p>
    <w:p w14:paraId="1B5680F9" w14:textId="7C003BCB" w:rsidR="007D6BF4" w:rsidRDefault="00000000">
      <w:pPr>
        <w:spacing w:after="160"/>
        <w:ind w:firstLine="720"/>
        <w:jc w:val="both"/>
      </w:pPr>
      <w:r>
        <w:t xml:space="preserve">This study is relevant to several groups. First, the Government of Rwanda in particular the Ministry of Finance and Economic Planning (MINECOFIN) and the Ministry of Local Government (MINALOC) will benefit from updated evidence on the key drivers of household poverty. The findings will help direct social protection </w:t>
      </w:r>
      <w:proofErr w:type="spellStart"/>
      <w:r>
        <w:t>programmes</w:t>
      </w:r>
      <w:proofErr w:type="spellEnd"/>
      <w:r>
        <w:t xml:space="preserve"> such as the VUP and </w:t>
      </w:r>
      <w:proofErr w:type="spellStart"/>
      <w:r>
        <w:t>Ubudehe</w:t>
      </w:r>
      <w:proofErr w:type="spellEnd"/>
      <w:r>
        <w:t xml:space="preserve"> towards the most vulnerable groups.</w:t>
      </w:r>
    </w:p>
    <w:p w14:paraId="609EA1FB" w14:textId="77777777" w:rsidR="007D6BF4" w:rsidRDefault="00000000">
      <w:pPr>
        <w:spacing w:after="160"/>
        <w:ind w:firstLine="720"/>
        <w:jc w:val="both"/>
      </w:pPr>
      <w:r>
        <w:t>Second, the National Institute of Statistics of Rwanda (NISR) and other research institutions will benefit from the methodological contribution of this study, specifically the use of binary logistic regression with diagnostic tests such as the Hosmer-</w:t>
      </w:r>
      <w:proofErr w:type="spellStart"/>
      <w:r>
        <w:t>Lemeshow</w:t>
      </w:r>
      <w:proofErr w:type="spellEnd"/>
      <w:r>
        <w:t xml:space="preserve"> test and ROC curve analysis applied to EICV7 data.</w:t>
      </w:r>
    </w:p>
    <w:p w14:paraId="40B8F406" w14:textId="77777777" w:rsidR="007D6BF4" w:rsidRDefault="00000000">
      <w:pPr>
        <w:spacing w:after="160"/>
        <w:ind w:firstLine="720"/>
        <w:jc w:val="both"/>
      </w:pPr>
      <w:r>
        <w:t xml:space="preserve">Third, development partners such as the World Bank, UNDP, UNICEF, and bilateral donors supporting Rwanda's social protection </w:t>
      </w:r>
      <w:proofErr w:type="spellStart"/>
      <w:r>
        <w:t>programmes</w:t>
      </w:r>
      <w:proofErr w:type="spellEnd"/>
      <w:r>
        <w:t xml:space="preserve"> will find the findings useful for </w:t>
      </w:r>
      <w:proofErr w:type="spellStart"/>
      <w:r>
        <w:t>prioritising</w:t>
      </w:r>
      <w:proofErr w:type="spellEnd"/>
      <w:r>
        <w:t xml:space="preserve"> investments and tracking progress towards SDG 1 (No Poverty) and SDG 10 (Reduced Inequalities).</w:t>
      </w:r>
    </w:p>
    <w:p w14:paraId="12765BDB" w14:textId="77777777" w:rsidR="007D6BF4" w:rsidRDefault="00000000">
      <w:pPr>
        <w:spacing w:after="160"/>
        <w:ind w:firstLine="720"/>
        <w:jc w:val="both"/>
      </w:pPr>
      <w:r>
        <w:t>Fourth, the academic community will benefit from this study's contribution to the literature on poverty determinants in Rwanda and East Africa. By using the most recent EICV7 data and a comprehensive set of variables, the study fills an important gap in current knowledge. Finally, poor and vulnerable households will indirectly benefit as evidence-based policies are strengthened to improve welfare outcomes.</w:t>
      </w:r>
    </w:p>
    <w:p w14:paraId="61AE9395" w14:textId="77777777" w:rsidR="007D6BF4" w:rsidRDefault="00000000">
      <w:pPr>
        <w:pStyle w:val="Heading2"/>
      </w:pPr>
      <w:r>
        <w:t>1.7 Scope of the Study</w:t>
      </w:r>
    </w:p>
    <w:p w14:paraId="0160AFB9" w14:textId="77777777" w:rsidR="007D6BF4" w:rsidRDefault="00000000">
      <w:pPr>
        <w:pStyle w:val="Heading3"/>
      </w:pPr>
      <w:r>
        <w:t>Geographical Scope</w:t>
      </w:r>
    </w:p>
    <w:p w14:paraId="7541F198" w14:textId="79B02159" w:rsidR="007D6BF4" w:rsidRDefault="00000000">
      <w:pPr>
        <w:spacing w:after="160"/>
        <w:ind w:firstLine="720"/>
        <w:jc w:val="both"/>
      </w:pPr>
      <w:r>
        <w:t xml:space="preserve">This study covers the whole of Rwanda, as the EICV7 data are nationally representative across all five </w:t>
      </w:r>
      <w:proofErr w:type="gramStart"/>
      <w:r>
        <w:t>provinces  Northern</w:t>
      </w:r>
      <w:proofErr w:type="gramEnd"/>
      <w:r>
        <w:t xml:space="preserve">, Southern, Eastern, Western, and Kigali </w:t>
      </w:r>
      <w:proofErr w:type="gramStart"/>
      <w:r>
        <w:t>City  and</w:t>
      </w:r>
      <w:proofErr w:type="gramEnd"/>
      <w:r>
        <w:t xml:space="preserve"> across both urban and rural areas.</w:t>
      </w:r>
    </w:p>
    <w:p w14:paraId="7DDE468F" w14:textId="77777777" w:rsidR="007D6BF4" w:rsidRDefault="00000000">
      <w:pPr>
        <w:pStyle w:val="Heading3"/>
      </w:pPr>
      <w:r>
        <w:t>Population Scope</w:t>
      </w:r>
    </w:p>
    <w:p w14:paraId="5345C85F" w14:textId="77777777" w:rsidR="007D6BF4" w:rsidRDefault="00000000">
      <w:pPr>
        <w:spacing w:after="160"/>
        <w:ind w:firstLine="720"/>
        <w:jc w:val="both"/>
      </w:pPr>
      <w:r>
        <w:t>The study population consists of all households covered in the EICV7 (2023–2024) survey. The unit of analysis is the household, defined by the demographic and socioeconomic characteristics of the household head and the household's composition.</w:t>
      </w:r>
    </w:p>
    <w:p w14:paraId="3724B80F" w14:textId="77777777" w:rsidR="007D6BF4" w:rsidRDefault="00000000">
      <w:pPr>
        <w:pStyle w:val="Heading3"/>
      </w:pPr>
      <w:r>
        <w:t>Content Scope</w:t>
      </w:r>
    </w:p>
    <w:p w14:paraId="16B5DF3C" w14:textId="0D0F781D" w:rsidR="007D6BF4" w:rsidRDefault="00000000">
      <w:pPr>
        <w:spacing w:after="160"/>
        <w:ind w:firstLine="720"/>
        <w:jc w:val="both"/>
      </w:pPr>
      <w:r>
        <w:t xml:space="preserve">The study examines the following determinants of household poverty: age of the household head, sex of the household head, marital status, household size, dependency ratio, education level, employment status, place of residence, access to electricity, and land ownership. The outcome variable is binary poverty </w:t>
      </w:r>
      <w:proofErr w:type="gramStart"/>
      <w:r>
        <w:t>status  poor</w:t>
      </w:r>
      <w:proofErr w:type="gramEnd"/>
      <w:r>
        <w:t xml:space="preserve"> or non-</w:t>
      </w:r>
      <w:proofErr w:type="gramStart"/>
      <w:r>
        <w:t>poor  as</w:t>
      </w:r>
      <w:proofErr w:type="gramEnd"/>
      <w:r>
        <w:t xml:space="preserve"> defined by the EICV7 poverty threshold.</w:t>
      </w:r>
    </w:p>
    <w:p w14:paraId="5A41B4B9" w14:textId="77777777" w:rsidR="007D6BF4" w:rsidRDefault="00000000">
      <w:pPr>
        <w:pStyle w:val="Heading3"/>
      </w:pPr>
      <w:r>
        <w:t>Time Scope</w:t>
      </w:r>
    </w:p>
    <w:p w14:paraId="25BEF254" w14:textId="77777777" w:rsidR="007D6BF4" w:rsidRDefault="00000000">
      <w:pPr>
        <w:spacing w:after="160"/>
        <w:ind w:firstLine="720"/>
        <w:jc w:val="both"/>
      </w:pPr>
      <w:r>
        <w:t>The study uses data from the EICV7 (2023–2024), which is the most recent nationally representative household welfare survey available for Rwanda at the time of this study.</w:t>
      </w:r>
    </w:p>
    <w:p w14:paraId="2963412E" w14:textId="7105EB77" w:rsidR="007D6BF4" w:rsidRDefault="00000000">
      <w:pPr>
        <w:pStyle w:val="Heading2"/>
      </w:pPr>
      <w:r>
        <w:t xml:space="preserve">1.8 </w:t>
      </w:r>
      <w:r w:rsidR="00A43314">
        <w:t>Organization</w:t>
      </w:r>
      <w:r>
        <w:t xml:space="preserve"> of the Study</w:t>
      </w:r>
    </w:p>
    <w:p w14:paraId="5FC8522F" w14:textId="77777777" w:rsidR="007D6BF4" w:rsidRDefault="00000000">
      <w:pPr>
        <w:spacing w:after="160"/>
        <w:ind w:firstLine="720"/>
        <w:jc w:val="both"/>
      </w:pPr>
      <w:r>
        <w:lastRenderedPageBreak/>
        <w:t>This proposal is divided into three chapters. Chapter One sets out the background, problem statement, research objectives, research questions, hypotheses, significance, and scope of the study. Chapter Two presents the theoretical and empirical literature review, leading to the identification of the research gap and the development of a conceptual framework. Chapter Three describes the research methodology, covering the research design, data source, study population, variables, data analysis methods, diagnostic tests, ethical considerations, and limitations.</w:t>
      </w:r>
    </w:p>
    <w:p w14:paraId="2305B210" w14:textId="77777777" w:rsidR="007D6BF4" w:rsidRDefault="007D6BF4">
      <w:pPr>
        <w:pageBreakBefore/>
      </w:pPr>
    </w:p>
    <w:p w14:paraId="2C8CD340" w14:textId="77777777" w:rsidR="007D6BF4" w:rsidRDefault="00000000">
      <w:pPr>
        <w:pStyle w:val="Heading1"/>
      </w:pPr>
      <w:r>
        <w:t>CHAPTER TWO: LITERATURE REVIEW</w:t>
      </w:r>
    </w:p>
    <w:p w14:paraId="31910402" w14:textId="77777777" w:rsidR="007D6BF4" w:rsidRDefault="00000000">
      <w:pPr>
        <w:pStyle w:val="Heading2"/>
      </w:pPr>
      <w:r>
        <w:t>2.1 Introduction</w:t>
      </w:r>
    </w:p>
    <w:p w14:paraId="23539EB0" w14:textId="77777777" w:rsidR="007D6BF4" w:rsidRDefault="00000000">
      <w:pPr>
        <w:spacing w:after="160"/>
        <w:ind w:firstLine="720"/>
        <w:jc w:val="both"/>
      </w:pPr>
      <w:r>
        <w:t xml:space="preserve">This chapter reviews </w:t>
      </w:r>
      <w:proofErr w:type="gramStart"/>
      <w:r>
        <w:t>the theoretical</w:t>
      </w:r>
      <w:proofErr w:type="gramEnd"/>
      <w:r>
        <w:t xml:space="preserve"> and empirical literature on the determinants of household poverty. It begins with key economic and sociological theories that underpin this study, followed by a review of empirical studies at global, African, East African, and Rwandan levels. The chapter ends with the identification of the research gap and the presentation of a conceptual framework.</w:t>
      </w:r>
    </w:p>
    <w:p w14:paraId="59FB973C" w14:textId="77777777" w:rsidR="007D6BF4" w:rsidRDefault="00000000">
      <w:pPr>
        <w:pStyle w:val="Heading2"/>
      </w:pPr>
      <w:r>
        <w:t>2.2 Theoretical Literature Review</w:t>
      </w:r>
    </w:p>
    <w:p w14:paraId="23E5B5B6" w14:textId="77777777" w:rsidR="007D6BF4" w:rsidRDefault="00000000">
      <w:pPr>
        <w:pStyle w:val="Heading3"/>
      </w:pPr>
      <w:r>
        <w:t>2.2.1 The Capability Approach</w:t>
      </w:r>
    </w:p>
    <w:p w14:paraId="3E78C396" w14:textId="77777777" w:rsidR="007D6BF4" w:rsidRDefault="00000000">
      <w:pPr>
        <w:spacing w:after="160"/>
        <w:ind w:firstLine="720"/>
        <w:jc w:val="both"/>
      </w:pPr>
      <w:r>
        <w:t xml:space="preserve">Amartya Sen's Capability Approach (Sen, 1999) defines poverty not simply as a lack of money, but as the inability of people to live the kind of life they have reason to value. According to this framework, poverty should be measured by looking at whether people and households are denied access to basic capabilities such as adequate food, health, education, and social participation. This approach has shaped the multidimensional poverty measures used by international </w:t>
      </w:r>
      <w:proofErr w:type="spellStart"/>
      <w:r>
        <w:t>organisations</w:t>
      </w:r>
      <w:proofErr w:type="spellEnd"/>
      <w:r>
        <w:t>, including the UNDP's Multidimensional Poverty Index (MPI).</w:t>
      </w:r>
    </w:p>
    <w:p w14:paraId="39F41B5F" w14:textId="77777777" w:rsidR="007D6BF4" w:rsidRDefault="00000000">
      <w:pPr>
        <w:spacing w:after="160"/>
        <w:ind w:firstLine="720"/>
        <w:jc w:val="both"/>
      </w:pPr>
      <w:r>
        <w:t>In Rwanda, the Capability Approach is particularly relevant because it draws attention to the structural barriers that hold households back beyond just low income. Limited education, unemployment, lack of electricity, and insecure land access are all forms of capability deprivation that both cause and perpetuate poverty. Including variables such as access to electricity, education, and land ownership in this study is grounded in this theoretical framework.</w:t>
      </w:r>
    </w:p>
    <w:p w14:paraId="64CAE918" w14:textId="77777777" w:rsidR="007D6BF4" w:rsidRDefault="00000000">
      <w:pPr>
        <w:pStyle w:val="Heading3"/>
      </w:pPr>
      <w:r>
        <w:t>2.2.2 Human Capital Theory</w:t>
      </w:r>
    </w:p>
    <w:p w14:paraId="575D38E6" w14:textId="77777777" w:rsidR="007D6BF4" w:rsidRDefault="00000000">
      <w:pPr>
        <w:spacing w:after="160"/>
        <w:ind w:firstLine="720"/>
        <w:jc w:val="both"/>
      </w:pPr>
      <w:r>
        <w:t>Human Capital Theory, developed by Becker (1964) and Schultz (1961), argues that investing in education and skills raises individual productivity and earning potential, which in turn reduces poverty. According to this theory, household heads with more education are better placed to find formal jobs, earn higher wages, and make sound economic decisions — all of which lower the household's chances of being poor. The theory predicts a strong negative relationship between the education level of the household head and household poverty.</w:t>
      </w:r>
    </w:p>
    <w:p w14:paraId="2E5CC113" w14:textId="77777777" w:rsidR="007D6BF4" w:rsidRDefault="00000000">
      <w:pPr>
        <w:spacing w:after="160"/>
        <w:ind w:firstLine="720"/>
        <w:jc w:val="both"/>
      </w:pPr>
      <w:r>
        <w:t>Evidence from sub-Saharan Africa broadly supports this theory. Households headed by individuals with secondary or higher education consistently have lower poverty rates than those headed by people with no formal schooling (</w:t>
      </w:r>
      <w:proofErr w:type="spellStart"/>
      <w:r>
        <w:t>Bongaarts</w:t>
      </w:r>
      <w:proofErr w:type="spellEnd"/>
      <w:r>
        <w:t xml:space="preserve">, 2020; </w:t>
      </w:r>
      <w:proofErr w:type="spellStart"/>
      <w:r>
        <w:t>Kravdal</w:t>
      </w:r>
      <w:proofErr w:type="spellEnd"/>
      <w:r>
        <w:t>, 2020). In Rwanda, both the EICV4 and EICV5 surveys show steep poverty gaps by education level — households headed by individuals with no education reported poverty rates more than three times higher than those headed by university graduates (NISR, 2018).</w:t>
      </w:r>
    </w:p>
    <w:p w14:paraId="3767B07F" w14:textId="77777777" w:rsidR="007D6BF4" w:rsidRDefault="00000000">
      <w:pPr>
        <w:pStyle w:val="Heading3"/>
      </w:pPr>
      <w:r>
        <w:t>2.2.3 Dependency Theory and Demographic Burden</w:t>
      </w:r>
    </w:p>
    <w:p w14:paraId="1FEAD3A0" w14:textId="2ABE700B" w:rsidR="007D6BF4" w:rsidRDefault="00000000">
      <w:pPr>
        <w:spacing w:after="160"/>
        <w:ind w:firstLine="720"/>
        <w:jc w:val="both"/>
      </w:pPr>
      <w:r>
        <w:t xml:space="preserve">Demographic theories of poverty highlight the role of household composition and population structure in determining welfare. The dependency burden hypothesis (Bloom &amp; </w:t>
      </w:r>
      <w:r>
        <w:lastRenderedPageBreak/>
        <w:t xml:space="preserve">Canning, 2008) argues that households with a high dependency </w:t>
      </w:r>
      <w:proofErr w:type="gramStart"/>
      <w:r>
        <w:t>ratio  where</w:t>
      </w:r>
      <w:proofErr w:type="gramEnd"/>
      <w:r>
        <w:t xml:space="preserve"> many children and elderly </w:t>
      </w:r>
      <w:r w:rsidR="00A43314">
        <w:t>dependents</w:t>
      </w:r>
      <w:r>
        <w:t xml:space="preserve"> rely on few working-age </w:t>
      </w:r>
      <w:proofErr w:type="gramStart"/>
      <w:r>
        <w:t>members  face</w:t>
      </w:r>
      <w:proofErr w:type="gramEnd"/>
      <w:r>
        <w:t xml:space="preserve"> lower per capita consumption and greater poverty risk. High birth rates, early marriage, and limited access to family planning are identified as key drivers of high dependency ratios in developing countries.</w:t>
      </w:r>
    </w:p>
    <w:p w14:paraId="0EC572A6" w14:textId="77777777" w:rsidR="007D6BF4" w:rsidRDefault="00000000">
      <w:pPr>
        <w:spacing w:after="160"/>
        <w:ind w:firstLine="720"/>
        <w:jc w:val="both"/>
      </w:pPr>
      <w:r>
        <w:t>In Rwanda, which has one of the highest population densities in Africa and a total fertility rate of 4.1 (NISR et al., 2021), demographic pressure on household resources is an important poverty factor. Large household sizes and high dependency ratios are common in rural areas, where most households depend on farming. This study includes household size and dependency ratio as key independent variables to capture this demographic dimension.</w:t>
      </w:r>
    </w:p>
    <w:p w14:paraId="47CC15C2" w14:textId="77777777" w:rsidR="007D6BF4" w:rsidRDefault="00000000">
      <w:pPr>
        <w:pStyle w:val="Heading3"/>
      </w:pPr>
      <w:r>
        <w:t>2.2.4 Social Stratification Theory</w:t>
      </w:r>
    </w:p>
    <w:p w14:paraId="7B6B89F1" w14:textId="198460BD" w:rsidR="007D6BF4" w:rsidRDefault="00000000">
      <w:pPr>
        <w:spacing w:after="160"/>
        <w:ind w:firstLine="720"/>
        <w:jc w:val="both"/>
      </w:pPr>
      <w:r>
        <w:t xml:space="preserve">Social Stratification Theory (Weber, 1922; Bourdieu, 1986) argues that socioeconomic inequality is reproduced through unequal access to economic, social, and cultural resources across social groups. Applied to household poverty, this theory predicts that households in disadvantaged social positions such as female-headed households, widowed individuals, those without land, or residents of </w:t>
      </w:r>
      <w:r w:rsidR="00A43314">
        <w:t>marginalized</w:t>
      </w:r>
      <w:r>
        <w:t xml:space="preserve"> </w:t>
      </w:r>
      <w:proofErr w:type="gramStart"/>
      <w:r>
        <w:t>areas  will</w:t>
      </w:r>
      <w:proofErr w:type="gramEnd"/>
      <w:r>
        <w:t xml:space="preserve"> face higher poverty risks because of structural barriers to economic participation and asset accumulation.</w:t>
      </w:r>
    </w:p>
    <w:p w14:paraId="6797D3EA" w14:textId="410F9C9E" w:rsidR="007D6BF4" w:rsidRDefault="00000000">
      <w:pPr>
        <w:spacing w:after="160"/>
        <w:ind w:firstLine="720"/>
        <w:jc w:val="both"/>
      </w:pPr>
      <w:r>
        <w:t xml:space="preserve">This framework is particularly useful for understanding the gender dimensions of poverty in Rwanda, where female-headed households especially those headed by widows, a lasting consequence of the 1994 </w:t>
      </w:r>
      <w:proofErr w:type="gramStart"/>
      <w:r>
        <w:t>genocide  have</w:t>
      </w:r>
      <w:proofErr w:type="gramEnd"/>
      <w:r>
        <w:t xml:space="preserve"> historically faced elevated poverty despite legal reforms that promote gender equality (</w:t>
      </w:r>
      <w:proofErr w:type="spellStart"/>
      <w:r>
        <w:t>Munyemana</w:t>
      </w:r>
      <w:proofErr w:type="spellEnd"/>
      <w:r>
        <w:t xml:space="preserve"> &amp; </w:t>
      </w:r>
      <w:proofErr w:type="spellStart"/>
      <w:r>
        <w:t>Habimana</w:t>
      </w:r>
      <w:proofErr w:type="spellEnd"/>
      <w:r>
        <w:t>, 2020). This theory supports including the sex of the household head, marital status, and land ownership as key determinants in this study.</w:t>
      </w:r>
    </w:p>
    <w:p w14:paraId="46A9B177" w14:textId="77777777" w:rsidR="007D6BF4" w:rsidRDefault="00000000">
      <w:pPr>
        <w:pStyle w:val="Heading2"/>
      </w:pPr>
      <w:r>
        <w:t>2.3 Empirical Literature Review</w:t>
      </w:r>
    </w:p>
    <w:p w14:paraId="770A0CED" w14:textId="77777777" w:rsidR="007D6BF4" w:rsidRDefault="00000000">
      <w:pPr>
        <w:pStyle w:val="Heading3"/>
      </w:pPr>
      <w:r>
        <w:t>2.3.1 Sex of Household Head and Poverty</w:t>
      </w:r>
    </w:p>
    <w:p w14:paraId="579ED31D" w14:textId="77777777" w:rsidR="007D6BF4" w:rsidRDefault="00000000">
      <w:pPr>
        <w:spacing w:after="160"/>
        <w:ind w:firstLine="720"/>
        <w:jc w:val="both"/>
      </w:pPr>
      <w:r>
        <w:t xml:space="preserve">The sex of the household head is a widely studied poverty determinant in developing countries. Female-headed households are generally considered more vulnerable to poverty because women often face disadvantages in </w:t>
      </w:r>
      <w:proofErr w:type="spellStart"/>
      <w:r>
        <w:t>labour</w:t>
      </w:r>
      <w:proofErr w:type="spellEnd"/>
      <w:r>
        <w:t xml:space="preserve"> markets, land rights, access to credit, and social protection (Klasen et al., 2017). However, evidence is mixed: while some studies find significantly higher poverty rates in female-headed households, others show that male-headed households can also be highly poor when household size and education are </w:t>
      </w:r>
      <w:proofErr w:type="gramStart"/>
      <w:r>
        <w:t>taken into account</w:t>
      </w:r>
      <w:proofErr w:type="gramEnd"/>
      <w:r>
        <w:t xml:space="preserve"> (</w:t>
      </w:r>
      <w:proofErr w:type="spellStart"/>
      <w:r>
        <w:t>Munyemana</w:t>
      </w:r>
      <w:proofErr w:type="spellEnd"/>
      <w:r>
        <w:t xml:space="preserve"> &amp; </w:t>
      </w:r>
      <w:proofErr w:type="spellStart"/>
      <w:r>
        <w:t>Habimana</w:t>
      </w:r>
      <w:proofErr w:type="spellEnd"/>
      <w:r>
        <w:t>, 2020).</w:t>
      </w:r>
    </w:p>
    <w:p w14:paraId="0315D27C" w14:textId="77777777" w:rsidR="007D6BF4" w:rsidRDefault="00000000">
      <w:pPr>
        <w:spacing w:after="160"/>
        <w:ind w:firstLine="720"/>
        <w:jc w:val="both"/>
      </w:pPr>
      <w:r>
        <w:t xml:space="preserve">In Rwanda, the 2016–17 EICV5 data show that female-headed households had a poverty rate of 41 per cent, compared to 37 per cent for male-headed households (NISR, 2018). </w:t>
      </w:r>
      <w:proofErr w:type="spellStart"/>
      <w:r>
        <w:t>Munyemana</w:t>
      </w:r>
      <w:proofErr w:type="spellEnd"/>
      <w:r>
        <w:t xml:space="preserve"> and </w:t>
      </w:r>
      <w:proofErr w:type="spellStart"/>
      <w:r>
        <w:t>Habimana</w:t>
      </w:r>
      <w:proofErr w:type="spellEnd"/>
      <w:r>
        <w:t xml:space="preserve"> (2020) found that female headship was a significant predictor of poverty in logistic regression models, with female-headed households being 1.4 times more likely to be poor. However, once education and employment were accounted for, the gender effect became smaller, suggesting that these factors play an important mediating role.</w:t>
      </w:r>
    </w:p>
    <w:p w14:paraId="77389571" w14:textId="77777777" w:rsidR="007D6BF4" w:rsidRDefault="00000000">
      <w:pPr>
        <w:pStyle w:val="Heading3"/>
      </w:pPr>
      <w:r>
        <w:t>2.3.2 Education Level and Poverty</w:t>
      </w:r>
    </w:p>
    <w:p w14:paraId="50CA0B4F" w14:textId="77777777" w:rsidR="007D6BF4" w:rsidRDefault="00000000">
      <w:pPr>
        <w:spacing w:after="160"/>
        <w:ind w:firstLine="720"/>
        <w:jc w:val="both"/>
      </w:pPr>
      <w:r>
        <w:t xml:space="preserve">Education is consistently identified as one of the strongest negative determinants of household poverty in developing countries. Educated household heads earn higher wages, are more likely to be in formal employment, adopt better farming practices, and manage household </w:t>
      </w:r>
      <w:r>
        <w:lastRenderedPageBreak/>
        <w:t>resources more effectively (</w:t>
      </w:r>
      <w:proofErr w:type="spellStart"/>
      <w:r>
        <w:t>Kravdal</w:t>
      </w:r>
      <w:proofErr w:type="spellEnd"/>
      <w:r>
        <w:t xml:space="preserve">, 2020; Becker, 1964). The relationship is especially strong at the secondary and higher education levels, which </w:t>
      </w:r>
      <w:proofErr w:type="gramStart"/>
      <w:r>
        <w:t>open</w:t>
      </w:r>
      <w:proofErr w:type="gramEnd"/>
      <w:r>
        <w:t xml:space="preserve"> doors to non-agricultural employment.</w:t>
      </w:r>
    </w:p>
    <w:p w14:paraId="7220BED2" w14:textId="77777777" w:rsidR="007D6BF4" w:rsidRDefault="00000000">
      <w:pPr>
        <w:spacing w:after="160"/>
        <w:ind w:firstLine="720"/>
        <w:jc w:val="both"/>
      </w:pPr>
      <w:r>
        <w:t xml:space="preserve">In Rwanda, EICV data consistently show steep poverty gradients by education. The 2016–17 EICV5 reports that among households headed by individuals with no formal education, the poverty rate was 52 per cent, compared to 15 per cent for those with secondary education and below 5 per cent for those with university education (NISR, 2018). Nkurunziza et al. (2019) found that each additional level of education was associated with a 28 per cent reduction in the odds of household poverty, after </w:t>
      </w:r>
      <w:proofErr w:type="gramStart"/>
      <w:r>
        <w:t>controlling for</w:t>
      </w:r>
      <w:proofErr w:type="gramEnd"/>
      <w:r>
        <w:t xml:space="preserve"> other socioeconomic factors.</w:t>
      </w:r>
    </w:p>
    <w:p w14:paraId="6D45786B" w14:textId="77777777" w:rsidR="007D6BF4" w:rsidRDefault="00000000">
      <w:pPr>
        <w:pStyle w:val="Heading3"/>
      </w:pPr>
      <w:r>
        <w:t>2.3.3 Residence (Urban/Rural) and Poverty</w:t>
      </w:r>
    </w:p>
    <w:p w14:paraId="1D29A413" w14:textId="77777777" w:rsidR="007D6BF4" w:rsidRDefault="00000000">
      <w:pPr>
        <w:spacing w:after="160"/>
        <w:ind w:firstLine="720"/>
        <w:jc w:val="both"/>
      </w:pPr>
      <w:r>
        <w:t xml:space="preserve">Rural or urban residence is a fundamental determinant of poverty in Rwanda. Rural areas are </w:t>
      </w:r>
      <w:proofErr w:type="spellStart"/>
      <w:r>
        <w:t>characterised</w:t>
      </w:r>
      <w:proofErr w:type="spellEnd"/>
      <w:r>
        <w:t xml:space="preserve"> by lower wages, reliance on subsistence farming, limited access to markets and public services, and higher poverty rates than urban areas. The 2016–17 EICV5 reports a poverty rate of 43 per cent in rural areas compared to 15 per cent in urban areas (NISR, 2018). Living in an urban area is associated with better access to formal jobs, education, healthcare, and infrastructure.</w:t>
      </w:r>
    </w:p>
    <w:p w14:paraId="61882279" w14:textId="42C30FE4" w:rsidR="007D6BF4" w:rsidRDefault="00000000">
      <w:pPr>
        <w:spacing w:after="160"/>
        <w:ind w:firstLine="720"/>
        <w:jc w:val="both"/>
      </w:pPr>
      <w:r>
        <w:t xml:space="preserve">Lerch (2019) found that rural households in East Africa are significantly more likely to be poor than urban households, even after </w:t>
      </w:r>
      <w:r w:rsidR="005738DF">
        <w:t>controlling</w:t>
      </w:r>
      <w:r>
        <w:t xml:space="preserve"> education, employment, and household composition. In Rwanda, EICV analyses consistently show that rural residence is a significant predictor of poverty, partly because of differences in agricultural productivity, infrastructure availability, and public service access between rural and urban areas (NISR, 2018).</w:t>
      </w:r>
    </w:p>
    <w:p w14:paraId="3E9F774A" w14:textId="77777777" w:rsidR="007D6BF4" w:rsidRDefault="00000000">
      <w:pPr>
        <w:pStyle w:val="Heading3"/>
      </w:pPr>
      <w:r>
        <w:t>2.3.4 Household Size and Dependency Ratio</w:t>
      </w:r>
    </w:p>
    <w:p w14:paraId="06B02AFA" w14:textId="7762EB12" w:rsidR="007D6BF4" w:rsidRDefault="00000000">
      <w:pPr>
        <w:spacing w:after="160"/>
        <w:ind w:firstLine="720"/>
        <w:jc w:val="both"/>
      </w:pPr>
      <w:r>
        <w:t xml:space="preserve">Household size and dependency ratio are key demographic determinants of poverty in developing countries. Larger households face lower per capita consumption unless the additional members are economically productive, and this raises poverty risk. High dependency </w:t>
      </w:r>
      <w:proofErr w:type="gramStart"/>
      <w:r>
        <w:t>ratios  common</w:t>
      </w:r>
      <w:proofErr w:type="gramEnd"/>
      <w:r>
        <w:t xml:space="preserve"> in environments with high birth rates and low education levels reduce the household's ability to save and invest in productive assets (Bloom &amp; Canning, 2008).</w:t>
      </w:r>
    </w:p>
    <w:p w14:paraId="2F6D6B2C" w14:textId="61BE893F" w:rsidR="007D6BF4" w:rsidRDefault="00000000">
      <w:pPr>
        <w:spacing w:after="160"/>
        <w:ind w:firstLine="720"/>
        <w:jc w:val="both"/>
      </w:pPr>
      <w:r>
        <w:t xml:space="preserve">In Rwanda, Nkurunziza et al. (2019) found that each additional household member raised the odds of poverty by 15 per cent, while a one-unit increase in the dependency ratio was associated with a 32 per cent increase in poverty odds. The 2016–17 EICV5 confirms that the largest </w:t>
      </w:r>
      <w:proofErr w:type="gramStart"/>
      <w:r>
        <w:t>households  those</w:t>
      </w:r>
      <w:proofErr w:type="gramEnd"/>
      <w:r>
        <w:t xml:space="preserve"> with six or more </w:t>
      </w:r>
      <w:proofErr w:type="gramStart"/>
      <w:r>
        <w:t>members  had</w:t>
      </w:r>
      <w:proofErr w:type="gramEnd"/>
      <w:r>
        <w:t xml:space="preserve"> poverty rates more than double those of households with two or fewer members (NISR, 2018).</w:t>
      </w:r>
    </w:p>
    <w:p w14:paraId="13B55339" w14:textId="77777777" w:rsidR="007D6BF4" w:rsidRDefault="00000000">
      <w:pPr>
        <w:pStyle w:val="Heading3"/>
      </w:pPr>
      <w:r>
        <w:t>2.3.5 Employment Status and Poverty</w:t>
      </w:r>
    </w:p>
    <w:p w14:paraId="2E467C30" w14:textId="77777777" w:rsidR="007D6BF4" w:rsidRDefault="00000000">
      <w:pPr>
        <w:spacing w:after="160"/>
        <w:ind w:firstLine="720"/>
        <w:jc w:val="both"/>
      </w:pPr>
      <w:r>
        <w:t>Employment is a direct driver of household income and poverty. Unemployed household heads have no primary source of income, leaving their households far more exposed to poverty. In sub-Saharan Africa, where formal jobs are scarce and most livelihoods are informal or farming-based, the relationship between employment and poverty is complex. Non-agricultural and formal sector employment are consistently associated with lower poverty (</w:t>
      </w:r>
      <w:proofErr w:type="spellStart"/>
      <w:r>
        <w:t>Mitirunga</w:t>
      </w:r>
      <w:proofErr w:type="spellEnd"/>
      <w:r>
        <w:t>, 2021).</w:t>
      </w:r>
    </w:p>
    <w:p w14:paraId="6117060B" w14:textId="6F426A40" w:rsidR="007D6BF4" w:rsidRDefault="00000000">
      <w:pPr>
        <w:spacing w:after="160"/>
        <w:ind w:firstLine="720"/>
        <w:jc w:val="both"/>
      </w:pPr>
      <w:r>
        <w:t xml:space="preserve">In Rwanda, where women's </w:t>
      </w:r>
      <w:r w:rsidR="005738DF">
        <w:t>labor</w:t>
      </w:r>
      <w:r>
        <w:t xml:space="preserve"> force participation is high but mostly informal and agricultural, the type of employment matters as much as employment status itself. Regardless, households headed by unemployed individuals consistently show higher poverty rates than those </w:t>
      </w:r>
      <w:r>
        <w:lastRenderedPageBreak/>
        <w:t>with employed heads. The 2016–17 EICV5 shows that unemployment among household heads is associated with poverty rates nearly twice as high as those of employed households (NISR, 2018).</w:t>
      </w:r>
    </w:p>
    <w:p w14:paraId="4B4FAE36" w14:textId="77777777" w:rsidR="007D6BF4" w:rsidRDefault="00000000">
      <w:pPr>
        <w:pStyle w:val="Heading3"/>
      </w:pPr>
      <w:r>
        <w:t>2.3.6 Access to Electricity and Land Ownership</w:t>
      </w:r>
    </w:p>
    <w:p w14:paraId="4ADB1BC4" w14:textId="4716616A" w:rsidR="007D6BF4" w:rsidRDefault="00000000">
      <w:pPr>
        <w:spacing w:after="160"/>
        <w:ind w:firstLine="720"/>
        <w:jc w:val="both"/>
      </w:pPr>
      <w:r>
        <w:t xml:space="preserve">Access to electricity is increasingly </w:t>
      </w:r>
      <w:r w:rsidR="005738DF">
        <w:t>recognized</w:t>
      </w:r>
      <w:r>
        <w:t xml:space="preserve"> as an important factor in household welfare. Electricity enables productive work beyond subsistence, supports children's learning, and is associated with higher household consumption (World Bank, 2023). Rwanda's electrification rate has grown from below 10 per cent in 2010 to over 50 per cent in 2022, but significant gaps between rural and urban areas remain. Households without electricity are predominantly rural and among the poorest.</w:t>
      </w:r>
    </w:p>
    <w:p w14:paraId="52C5195A" w14:textId="2646843B" w:rsidR="007D6BF4" w:rsidRDefault="00000000">
      <w:pPr>
        <w:spacing w:after="160"/>
        <w:ind w:firstLine="720"/>
        <w:jc w:val="both"/>
      </w:pPr>
      <w:r>
        <w:t xml:space="preserve">Land ownership is especially important in Rwanda's farming-dependent economy, where land is the primary productive asset for rural households. Owning land provides a more secure livelihood base and better opportunities for agricultural income. Land </w:t>
      </w:r>
      <w:proofErr w:type="gramStart"/>
      <w:r>
        <w:t>insecurity</w:t>
      </w:r>
      <w:r w:rsidR="00A43314">
        <w:t xml:space="preserve"> </w:t>
      </w:r>
      <w:r>
        <w:t xml:space="preserve"> which</w:t>
      </w:r>
      <w:proofErr w:type="gramEnd"/>
      <w:r>
        <w:t xml:space="preserve"> is common among female-headed households and displaced families is associated with greater poverty vulnerability (</w:t>
      </w:r>
      <w:proofErr w:type="spellStart"/>
      <w:r>
        <w:t>Munyemana</w:t>
      </w:r>
      <w:proofErr w:type="spellEnd"/>
      <w:r>
        <w:t xml:space="preserve"> &amp; </w:t>
      </w:r>
      <w:proofErr w:type="spellStart"/>
      <w:r>
        <w:t>Habimana</w:t>
      </w:r>
      <w:proofErr w:type="spellEnd"/>
      <w:r>
        <w:t>, 2020).</w:t>
      </w:r>
    </w:p>
    <w:p w14:paraId="6E6A61CB" w14:textId="77777777" w:rsidR="007D6BF4" w:rsidRDefault="00000000">
      <w:pPr>
        <w:pStyle w:val="Heading2"/>
      </w:pPr>
      <w:r>
        <w:t>2.4 Research Gap</w:t>
      </w:r>
    </w:p>
    <w:p w14:paraId="02368942" w14:textId="77777777" w:rsidR="007D6BF4" w:rsidRDefault="00000000">
      <w:pPr>
        <w:spacing w:after="160"/>
        <w:ind w:firstLine="720"/>
        <w:jc w:val="both"/>
      </w:pPr>
      <w:r>
        <w:t>The literature reviewed above shows that sex of household head, education, place of residence, household size, dependency ratio, employment, electricity access, and land ownership all influence household poverty in Rwanda and across sub-Saharan Africa. However, several gaps justify this study.</w:t>
      </w:r>
    </w:p>
    <w:p w14:paraId="013C5AA8" w14:textId="28BA73C9" w:rsidR="007D6BF4" w:rsidRDefault="00000000">
      <w:pPr>
        <w:spacing w:after="160"/>
        <w:ind w:firstLine="720"/>
        <w:jc w:val="both"/>
      </w:pPr>
      <w:r>
        <w:t xml:space="preserve">First, most existing Rwandan studies have used data from the 2013–14 or 2016–17 EICV rounds, which pre-date major developments in Rwanda's economy, social protection landscape, and electrification </w:t>
      </w:r>
      <w:r w:rsidR="005738DF">
        <w:t>program</w:t>
      </w:r>
      <w:r>
        <w:t>. A study using EICV7 (2023–2024) data is therefore more relevant to current policy.</w:t>
      </w:r>
    </w:p>
    <w:p w14:paraId="036EA2EC" w14:textId="77777777" w:rsidR="007D6BF4" w:rsidRDefault="00000000">
      <w:pPr>
        <w:spacing w:after="160"/>
        <w:ind w:firstLine="720"/>
        <w:jc w:val="both"/>
      </w:pPr>
      <w:r>
        <w:t>Second, no published study has examined all ten determinants specified in this research within a single logistic regression model using the most recent national data. This study addresses that gap by applying binary logistic regression to EICV7, offering both rigorous statistical analysis and current policy relevance.</w:t>
      </w:r>
    </w:p>
    <w:p w14:paraId="466CF193" w14:textId="77777777" w:rsidR="007D6BF4" w:rsidRDefault="00000000">
      <w:pPr>
        <w:spacing w:after="160"/>
        <w:ind w:firstLine="720"/>
        <w:jc w:val="both"/>
      </w:pPr>
      <w:r>
        <w:t>Third, very few Rwandan poverty studies have applied formal model evaluation tools such as the Hosmer-</w:t>
      </w:r>
      <w:proofErr w:type="spellStart"/>
      <w:r>
        <w:t>Lemeshow</w:t>
      </w:r>
      <w:proofErr w:type="spellEnd"/>
      <w:r>
        <w:t xml:space="preserve"> goodness-of-fit test or ROC curve analysis to assess predictive accuracy. Both are used in this study.</w:t>
      </w:r>
    </w:p>
    <w:p w14:paraId="5C7C63CE" w14:textId="77777777" w:rsidR="007D6BF4" w:rsidRDefault="00000000">
      <w:pPr>
        <w:pStyle w:val="Heading2"/>
      </w:pPr>
      <w:r>
        <w:t>2.5 Conceptual Framework</w:t>
      </w:r>
    </w:p>
    <w:p w14:paraId="2B0DCC39" w14:textId="77777777" w:rsidR="007D6BF4" w:rsidRDefault="00000000">
      <w:pPr>
        <w:spacing w:after="160"/>
        <w:ind w:firstLine="720"/>
        <w:jc w:val="both"/>
      </w:pPr>
      <w:r>
        <w:t>The conceptual framework for this study draws on the Capability Approach (Sen, 1999), Human Capital Theory (Becker, 1964), the Dependency Burden Hypothesis (Bloom &amp; Canning, 2008), and Social Stratification Theory (Bourdieu, 1986). It maps out the expected relationships between the independent variables and the binary dependent variable, household poverty status.</w:t>
      </w:r>
    </w:p>
    <w:p w14:paraId="4B60803F" w14:textId="77777777" w:rsidR="007D6BF4" w:rsidRDefault="00000000">
      <w:pPr>
        <w:spacing w:after="160"/>
        <w:ind w:firstLine="720"/>
        <w:jc w:val="both"/>
      </w:pPr>
      <w:r>
        <w:t>The framework proposes the following relationships:</w:t>
      </w:r>
    </w:p>
    <w:p w14:paraId="5024CD0C" w14:textId="7CB3AE6C" w:rsidR="007D6BF4" w:rsidRDefault="00000000">
      <w:pPr>
        <w:pStyle w:val="ListParagraph"/>
        <w:numPr>
          <w:ilvl w:val="0"/>
          <w:numId w:val="2"/>
        </w:numPr>
        <w:spacing w:before="60" w:after="60"/>
        <w:jc w:val="both"/>
      </w:pPr>
      <w:r>
        <w:t xml:space="preserve">Female-headed households face a higher probability of poverty due to structural disadvantages in </w:t>
      </w:r>
      <w:r w:rsidR="005738DF">
        <w:t>labor</w:t>
      </w:r>
      <w:r>
        <w:t xml:space="preserve"> markets and asset ownership.</w:t>
      </w:r>
    </w:p>
    <w:p w14:paraId="2EDB2F3C" w14:textId="77777777" w:rsidR="007D6BF4" w:rsidRDefault="00000000">
      <w:pPr>
        <w:pStyle w:val="ListParagraph"/>
        <w:numPr>
          <w:ilvl w:val="0"/>
          <w:numId w:val="2"/>
        </w:numPr>
        <w:spacing w:before="60" w:after="60"/>
        <w:jc w:val="both"/>
      </w:pPr>
      <w:r>
        <w:lastRenderedPageBreak/>
        <w:t>Higher education of the household head is negatively associated with poverty through increased earnings and access to formal employment.</w:t>
      </w:r>
    </w:p>
    <w:p w14:paraId="29AFDD86" w14:textId="77777777" w:rsidR="007D6BF4" w:rsidRDefault="00000000">
      <w:pPr>
        <w:pStyle w:val="ListParagraph"/>
        <w:numPr>
          <w:ilvl w:val="0"/>
          <w:numId w:val="2"/>
        </w:numPr>
        <w:spacing w:before="60" w:after="60"/>
        <w:jc w:val="both"/>
      </w:pPr>
      <w:r>
        <w:t>Rural residence is positively associated with poverty, reflecting limited access to infrastructure, services, and employment.</w:t>
      </w:r>
    </w:p>
    <w:p w14:paraId="5AD23784" w14:textId="77777777" w:rsidR="007D6BF4" w:rsidRDefault="00000000">
      <w:pPr>
        <w:pStyle w:val="ListParagraph"/>
        <w:numPr>
          <w:ilvl w:val="0"/>
          <w:numId w:val="2"/>
        </w:numPr>
        <w:spacing w:before="60" w:after="60"/>
        <w:jc w:val="both"/>
      </w:pPr>
      <w:r>
        <w:t>Larger household size and a higher dependency ratio increase poverty probability through the dilution of household resources.</w:t>
      </w:r>
    </w:p>
    <w:p w14:paraId="4DA8BAFD" w14:textId="77777777" w:rsidR="007D6BF4" w:rsidRDefault="00000000">
      <w:pPr>
        <w:pStyle w:val="ListParagraph"/>
        <w:numPr>
          <w:ilvl w:val="0"/>
          <w:numId w:val="2"/>
        </w:numPr>
        <w:spacing w:before="60" w:after="60"/>
        <w:jc w:val="both"/>
      </w:pPr>
      <w:r>
        <w:t>Unemployment of the household head is positively associated with poverty due to reduced household income.</w:t>
      </w:r>
    </w:p>
    <w:p w14:paraId="5D1A554C" w14:textId="20A91622" w:rsidR="007D6BF4" w:rsidRDefault="00000000">
      <w:pPr>
        <w:pStyle w:val="ListParagraph"/>
        <w:numPr>
          <w:ilvl w:val="0"/>
          <w:numId w:val="2"/>
        </w:numPr>
        <w:spacing w:before="60" w:after="60"/>
        <w:jc w:val="both"/>
      </w:pPr>
      <w:r>
        <w:t xml:space="preserve">Access to electricity and </w:t>
      </w:r>
      <w:r w:rsidR="005738DF">
        <w:t>landownership</w:t>
      </w:r>
      <w:r>
        <w:t xml:space="preserve"> are negatively associated with poverty, reflecting better access to productive assets and infrastructure.</w:t>
      </w:r>
    </w:p>
    <w:p w14:paraId="56473932" w14:textId="77777777" w:rsidR="007D6BF4" w:rsidRDefault="007D6BF4">
      <w:pPr>
        <w:spacing w:after="80"/>
      </w:pPr>
    </w:p>
    <w:p w14:paraId="056A2549" w14:textId="60F8D9F6" w:rsidR="007D6BF4" w:rsidRDefault="00000000">
      <w:pPr>
        <w:spacing w:after="160"/>
        <w:ind w:firstLine="720"/>
        <w:jc w:val="both"/>
      </w:pPr>
      <w:r>
        <w:t xml:space="preserve">The framework also </w:t>
      </w:r>
      <w:r w:rsidR="005738DF">
        <w:t>recognizes</w:t>
      </w:r>
      <w:r>
        <w:t xml:space="preserve"> that these determinants interact with one another and are embedded within Rwanda's broader institutional context, including national social protection policies, land tenure laws, and the macroeconomic environment.</w:t>
      </w:r>
    </w:p>
    <w:p w14:paraId="54250722" w14:textId="77777777" w:rsidR="007D6BF4" w:rsidRDefault="007D6BF4">
      <w:pPr>
        <w:spacing w:after="80"/>
      </w:pPr>
    </w:p>
    <w:p w14:paraId="2B8F843C" w14:textId="77777777" w:rsidR="007D6BF4" w:rsidRDefault="00000000">
      <w:pPr>
        <w:spacing w:after="160"/>
        <w:jc w:val="both"/>
      </w:pPr>
      <w:r>
        <w:t>Conceptual Framework Diagram:</w:t>
      </w:r>
    </w:p>
    <w:p w14:paraId="3BD0C651" w14:textId="77777777" w:rsidR="007D6BF4" w:rsidRDefault="007D6BF4">
      <w:pPr>
        <w:spacing w:after="80"/>
      </w:pPr>
    </w:p>
    <w:p w14:paraId="5354E711" w14:textId="7FAD8BD9" w:rsidR="007D6BF4" w:rsidRDefault="00000000">
      <w:pPr>
        <w:spacing w:after="120"/>
        <w:jc w:val="center"/>
      </w:pPr>
      <w:r>
        <w:rPr>
          <w:color w:val="000000"/>
        </w:rPr>
        <w:t xml:space="preserve">[Independent </w:t>
      </w:r>
      <w:r w:rsidR="005738DF">
        <w:rPr>
          <w:color w:val="000000"/>
        </w:rPr>
        <w:t xml:space="preserve">Variables] </w:t>
      </w:r>
      <w:proofErr w:type="gramStart"/>
      <w:r w:rsidR="005738DF">
        <w:rPr>
          <w:color w:val="000000"/>
        </w:rPr>
        <w:t>→</w:t>
      </w:r>
      <w:r>
        <w:rPr>
          <w:color w:val="000000"/>
        </w:rPr>
        <w:t xml:space="preserve">  [</w:t>
      </w:r>
      <w:proofErr w:type="gramEnd"/>
      <w:r>
        <w:rPr>
          <w:color w:val="000000"/>
        </w:rPr>
        <w:t xml:space="preserve">Binary Logistic Regression </w:t>
      </w:r>
      <w:proofErr w:type="gramStart"/>
      <w:r>
        <w:rPr>
          <w:color w:val="000000"/>
        </w:rPr>
        <w:t>Model]  →</w:t>
      </w:r>
      <w:proofErr w:type="gramEnd"/>
      <w:r>
        <w:rPr>
          <w:color w:val="000000"/>
        </w:rPr>
        <w:t xml:space="preserve">  [Dependent Variable]</w:t>
      </w:r>
    </w:p>
    <w:p w14:paraId="7B31689D" w14:textId="77777777" w:rsidR="007D6BF4" w:rsidRDefault="00000000">
      <w:pPr>
        <w:spacing w:after="120"/>
        <w:jc w:val="center"/>
      </w:pPr>
      <w:r>
        <w:rPr>
          <w:color w:val="000000"/>
        </w:rPr>
        <w:t>Age, Sex, Marital Status, Household Size, Dependency Ratio,</w:t>
      </w:r>
    </w:p>
    <w:p w14:paraId="31874F63" w14:textId="77777777" w:rsidR="007D6BF4" w:rsidRDefault="00000000">
      <w:pPr>
        <w:spacing w:after="120"/>
        <w:jc w:val="center"/>
      </w:pPr>
      <w:r>
        <w:rPr>
          <w:color w:val="000000"/>
        </w:rPr>
        <w:t>Education, Employment, Residence, Electricity Access, Land Ownership</w:t>
      </w:r>
    </w:p>
    <w:p w14:paraId="2EFD68A6" w14:textId="77777777" w:rsidR="007D6BF4" w:rsidRDefault="00000000">
      <w:pPr>
        <w:spacing w:after="120"/>
        <w:jc w:val="center"/>
      </w:pPr>
      <w:r>
        <w:rPr>
          <w:color w:val="000000"/>
        </w:rPr>
        <w:t>↓</w:t>
      </w:r>
    </w:p>
    <w:p w14:paraId="4AA4806C" w14:textId="4FC963EE" w:rsidR="007D6BF4" w:rsidRDefault="00000000">
      <w:pPr>
        <w:spacing w:after="120"/>
        <w:jc w:val="center"/>
      </w:pPr>
      <w:r>
        <w:rPr>
          <w:b/>
          <w:bCs/>
          <w:color w:val="000000"/>
        </w:rPr>
        <w:t xml:space="preserve">Household Poverty Status (Poor = 1 / </w:t>
      </w:r>
      <w:r w:rsidR="005738DF">
        <w:rPr>
          <w:b/>
          <w:bCs/>
          <w:color w:val="000000"/>
        </w:rPr>
        <w:t>non-poor</w:t>
      </w:r>
      <w:r>
        <w:rPr>
          <w:b/>
          <w:bCs/>
          <w:color w:val="000000"/>
        </w:rPr>
        <w:t xml:space="preserve"> = 0)</w:t>
      </w:r>
    </w:p>
    <w:p w14:paraId="23DF7A17" w14:textId="77777777" w:rsidR="007D6BF4" w:rsidRDefault="007D6BF4">
      <w:pPr>
        <w:spacing w:after="80"/>
      </w:pPr>
    </w:p>
    <w:p w14:paraId="4F5B8970" w14:textId="77777777" w:rsidR="007D6BF4" w:rsidRDefault="007D6BF4">
      <w:pPr>
        <w:pageBreakBefore/>
      </w:pPr>
    </w:p>
    <w:p w14:paraId="05B479AA" w14:textId="77777777" w:rsidR="007D6BF4" w:rsidRDefault="00000000">
      <w:pPr>
        <w:pStyle w:val="Heading1"/>
      </w:pPr>
      <w:r>
        <w:t>CHAPTER THREE: RESEARCH METHODOLOGY</w:t>
      </w:r>
    </w:p>
    <w:p w14:paraId="77AC186A" w14:textId="77777777" w:rsidR="007D6BF4" w:rsidRDefault="00000000">
      <w:pPr>
        <w:pStyle w:val="Heading2"/>
      </w:pPr>
      <w:r>
        <w:t>3.1 Introduction</w:t>
      </w:r>
    </w:p>
    <w:p w14:paraId="20319A6A" w14:textId="77777777" w:rsidR="007D6BF4" w:rsidRDefault="00000000">
      <w:pPr>
        <w:spacing w:after="160"/>
        <w:ind w:firstLine="720"/>
        <w:jc w:val="both"/>
      </w:pPr>
      <w:r>
        <w:t>This chapter describes the methods used to examine the demographic and socioeconomic determinants of household poverty in Rwanda. It covers the research design, study area, data source, study population, sampling procedure, variable definitions, data analysis methods, diagnostic tests, ethical considerations, and the study's limitations.</w:t>
      </w:r>
    </w:p>
    <w:p w14:paraId="29FD8A62" w14:textId="77777777" w:rsidR="007D6BF4" w:rsidRDefault="00000000">
      <w:pPr>
        <w:pStyle w:val="Heading2"/>
      </w:pPr>
      <w:r>
        <w:t>3.2 Research Design</w:t>
      </w:r>
    </w:p>
    <w:p w14:paraId="7EB29C14" w14:textId="1F585788" w:rsidR="007D6BF4" w:rsidRDefault="00000000">
      <w:pPr>
        <w:spacing w:after="160"/>
        <w:ind w:firstLine="720"/>
        <w:jc w:val="both"/>
      </w:pPr>
      <w:r>
        <w:t xml:space="preserve">This study uses </w:t>
      </w:r>
      <w:r w:rsidR="005738DF">
        <w:t>quantitative</w:t>
      </w:r>
      <w:r>
        <w:t xml:space="preserve"> cross-sectional research design. A cross-sectional design collects data at a single point in time from a defined population, making it well suited for </w:t>
      </w:r>
      <w:r w:rsidR="005738DF">
        <w:t>analyzing</w:t>
      </w:r>
      <w:r>
        <w:t xml:space="preserve"> existing national household survey data such as the EICV7 (Creswell &amp; Creswell, 2018). The quantitative approach is chosen because the study aims to measure statistical associations between clearly defined independent variables and a binary outcome household poverty </w:t>
      </w:r>
      <w:proofErr w:type="gramStart"/>
      <w:r>
        <w:t>status  and</w:t>
      </w:r>
      <w:proofErr w:type="gramEnd"/>
      <w:r>
        <w:t xml:space="preserve"> to test the research hypotheses using inferential statistical methods, specifically binary logistic regression.</w:t>
      </w:r>
    </w:p>
    <w:p w14:paraId="251A9A3D" w14:textId="77777777" w:rsidR="007D6BF4" w:rsidRDefault="00000000">
      <w:pPr>
        <w:spacing w:after="160"/>
        <w:ind w:firstLine="720"/>
        <w:jc w:val="both"/>
      </w:pPr>
      <w:r>
        <w:t>The cross-sectional design is practical and cost-effective, particularly when working with secondary data from a large, nationally representative survey. Its main limitation is that it does not allow causal conclusions to be drawn; only associations can be identified. This limitation is discussed further in Section 3.11.</w:t>
      </w:r>
    </w:p>
    <w:p w14:paraId="089BCA17" w14:textId="77777777" w:rsidR="007D6BF4" w:rsidRDefault="00000000">
      <w:pPr>
        <w:pStyle w:val="Heading2"/>
      </w:pPr>
      <w:r>
        <w:t>3.3 Study Area</w:t>
      </w:r>
    </w:p>
    <w:p w14:paraId="5BA4831C" w14:textId="2B69D2DC" w:rsidR="007D6BF4" w:rsidRDefault="00000000">
      <w:pPr>
        <w:spacing w:after="160"/>
        <w:ind w:firstLine="720"/>
        <w:jc w:val="both"/>
      </w:pPr>
      <w:r>
        <w:t xml:space="preserve">This study is conducted in Rwanda, a landlocked country in East-Central Africa. Rwanda covers approximately 26,338 square </w:t>
      </w:r>
      <w:r w:rsidR="005738DF">
        <w:t>kilometers</w:t>
      </w:r>
      <w:r>
        <w:t xml:space="preserve"> and is divided into five provinces: Northern, Southern, Eastern, Western, and Kigali City. As of 2022, Rwanda's population was estimated at approximately 13.8 million, with a population density of around 525 people per square </w:t>
      </w:r>
      <w:r w:rsidR="005738DF">
        <w:t>kilometer</w:t>
      </w:r>
      <w:r>
        <w:t>, making it one of the most densely populated countries in Africa (World Bank, 2023). About 17 per cent of the population lives in urban areas.</w:t>
      </w:r>
    </w:p>
    <w:p w14:paraId="5146B033" w14:textId="77777777" w:rsidR="007D6BF4" w:rsidRDefault="00000000">
      <w:pPr>
        <w:spacing w:after="160"/>
        <w:ind w:firstLine="720"/>
        <w:jc w:val="both"/>
      </w:pPr>
      <w:r>
        <w:t>Rwanda has made significant economic progress since the 1994 genocide against the Tutsi. GDP per capita grew from around USD 220 in 1994 to approximately USD 930 in 2022. The country has pursued ambitious development goals under Vision 2020 and Vision 2050, with major investments in education, health, infrastructure, and social protection. Despite these achievements, poverty remains widespread, especially in rural areas, making Rwanda a relevant and important context for studying poverty determinants.</w:t>
      </w:r>
    </w:p>
    <w:p w14:paraId="1FE26501" w14:textId="77777777" w:rsidR="007D6BF4" w:rsidRDefault="00000000">
      <w:pPr>
        <w:pStyle w:val="Heading2"/>
      </w:pPr>
      <w:r>
        <w:t>3.4 Data Source</w:t>
      </w:r>
    </w:p>
    <w:p w14:paraId="4B498DFC" w14:textId="77777777" w:rsidR="007D6BF4" w:rsidRDefault="00000000">
      <w:pPr>
        <w:spacing w:after="160"/>
        <w:ind w:firstLine="720"/>
        <w:jc w:val="both"/>
      </w:pPr>
      <w:r>
        <w:t xml:space="preserve">This study uses secondary data from the Seventh Integrated Household Living Conditions Survey (EICV7), conducted by the National Institute of Statistics of Rwanda (NISR) in 2023–2024. The EICV is Rwanda's primary nationally representative household survey, designed to </w:t>
      </w:r>
      <w:r>
        <w:lastRenderedPageBreak/>
        <w:t>measure household consumption, income, poverty, and living standards. It collects detailed information on the demographic and socioeconomic characteristics of households and their heads, making it the most suitable data source for this study.</w:t>
      </w:r>
    </w:p>
    <w:p w14:paraId="5FD8E658" w14:textId="584F8299" w:rsidR="007D6BF4" w:rsidRDefault="00000000">
      <w:pPr>
        <w:spacing w:after="160"/>
        <w:ind w:firstLine="720"/>
        <w:jc w:val="both"/>
      </w:pPr>
      <w:r>
        <w:t>The EICV7 follows a rigorous sampling methodology and covers a large</w:t>
      </w:r>
      <w:r w:rsidR="005738DF">
        <w:t>,</w:t>
      </w:r>
      <w:r>
        <w:t xml:space="preserve"> representative sample of households across all provinces and both urban and rural areas. It meets international standards for household welfare measurement, ensuring comparability with previous EICV rounds. The dataset is available to researchers upon application to NISR for academic use.</w:t>
      </w:r>
    </w:p>
    <w:p w14:paraId="1F09AA18" w14:textId="77777777" w:rsidR="007D6BF4" w:rsidRDefault="00000000">
      <w:pPr>
        <w:pStyle w:val="Heading2"/>
      </w:pPr>
      <w:r>
        <w:t>3.5 Study Population</w:t>
      </w:r>
    </w:p>
    <w:p w14:paraId="50CF1251" w14:textId="77777777" w:rsidR="007D6BF4" w:rsidRDefault="00000000">
      <w:pPr>
        <w:spacing w:after="160"/>
        <w:ind w:firstLine="720"/>
        <w:jc w:val="both"/>
      </w:pPr>
      <w:r>
        <w:t>The study population is all households covered in the EICV7 (2023–2024) survey. The unit of analysis is the household, defined by the demographic and socioeconomic characteristics of the household head and the household's overall composition. All households with complete data on the variables of interest are included in the analysis.</w:t>
      </w:r>
    </w:p>
    <w:p w14:paraId="32FE7EB9" w14:textId="77777777" w:rsidR="007D6BF4" w:rsidRDefault="00000000">
      <w:pPr>
        <w:pStyle w:val="Heading2"/>
      </w:pPr>
      <w:r>
        <w:t>3.6 Sample Size and Sampling Procedure</w:t>
      </w:r>
    </w:p>
    <w:p w14:paraId="68505C1E" w14:textId="77777777" w:rsidR="007D6BF4" w:rsidRDefault="00000000">
      <w:pPr>
        <w:spacing w:after="160"/>
        <w:ind w:firstLine="720"/>
        <w:jc w:val="both"/>
      </w:pPr>
      <w:r>
        <w:t>The EICV7 uses a stratified two-stage cluster sampling design to produce nationally representative estimates. In the first stage, enumeration areas (EAs) are selected from the national sampling frame using probability proportional to size (PPS) sampling. In the second stage, a fixed number of households are randomly selected from each selected EA using systematic random sampling.</w:t>
      </w:r>
    </w:p>
    <w:p w14:paraId="6DEACDBA" w14:textId="77777777" w:rsidR="007D6BF4" w:rsidRDefault="00000000">
      <w:pPr>
        <w:spacing w:after="160"/>
        <w:ind w:firstLine="720"/>
        <w:jc w:val="both"/>
      </w:pPr>
      <w:r>
        <w:t>The survey is stratified by province and urban-rural residence to ensure that all geographic and socioeconomic subgroups are adequately represented. Sampling weights provided in the dataset are applied throughout the analysis to correct for unequal selection probabilities and to restore national representativeness. The exact sample size for the EICV7 will be confirmed upon accessing the dataset; previous EICV rounds have covered approximately 14,000 to 16,000 households.</w:t>
      </w:r>
    </w:p>
    <w:p w14:paraId="63E348D0" w14:textId="77777777" w:rsidR="007D6BF4" w:rsidRDefault="00000000">
      <w:pPr>
        <w:pStyle w:val="Heading2"/>
      </w:pPr>
      <w:r>
        <w:t>3.7 Variables of the Study</w:t>
      </w:r>
    </w:p>
    <w:p w14:paraId="216D314D" w14:textId="77777777" w:rsidR="007D6BF4" w:rsidRDefault="00000000">
      <w:pPr>
        <w:pStyle w:val="Heading3"/>
      </w:pPr>
      <w:r>
        <w:t>3.7.1 Dependent Variable</w:t>
      </w:r>
    </w:p>
    <w:p w14:paraId="7509135D" w14:textId="77777777" w:rsidR="007D6BF4" w:rsidRDefault="00000000">
      <w:pPr>
        <w:spacing w:after="160"/>
        <w:ind w:firstLine="720"/>
        <w:jc w:val="both"/>
      </w:pPr>
      <w:r>
        <w:t>The dependent variable is household poverty status, defined as a binary indicator: poor (coded 1) or non-poor (coded 0). A household is classified as poor if its per capita consumption expenditure falls below the national poverty line established by the EICV7 methodology. This is consistent with the approach used in previous EICV rounds and ensures comparability with national poverty statistics (NISR, 2018).</w:t>
      </w:r>
    </w:p>
    <w:p w14:paraId="7838C00E" w14:textId="77777777" w:rsidR="007D6BF4" w:rsidRDefault="00000000">
      <w:pPr>
        <w:pStyle w:val="Heading3"/>
      </w:pPr>
      <w:r>
        <w:t>3.7.2 Independent Variables</w:t>
      </w:r>
    </w:p>
    <w:p w14:paraId="342CE13B" w14:textId="77777777" w:rsidR="007D6BF4" w:rsidRDefault="00000000">
      <w:pPr>
        <w:spacing w:after="160"/>
        <w:ind w:firstLine="720"/>
        <w:jc w:val="both"/>
      </w:pPr>
      <w:r>
        <w:t>Table 3.1 below presents the operational definitions and measurement scales of all independent variables included in the study.</w:t>
      </w:r>
    </w:p>
    <w:p w14:paraId="38C96FEC" w14:textId="77777777" w:rsidR="007D6BF4" w:rsidRDefault="007D6BF4">
      <w:pPr>
        <w:spacing w:after="80"/>
      </w:pPr>
    </w:p>
    <w:p w14:paraId="22D78242" w14:textId="77777777" w:rsidR="007D6BF4" w:rsidRDefault="00000000">
      <w:pPr>
        <w:spacing w:before="120" w:after="80"/>
      </w:pPr>
      <w:r>
        <w:rPr>
          <w:b/>
          <w:bCs/>
          <w:sz w:val="22"/>
          <w:szCs w:val="22"/>
        </w:rPr>
        <w:t>Table 3.1: Operational Definitions and Measurement Scales of Study Variables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5"/>
        <w:gridCol w:w="1800"/>
        <w:gridCol w:w="3600"/>
        <w:gridCol w:w="1575"/>
      </w:tblGrid>
      <w:tr w:rsidR="007D6BF4" w14:paraId="073E307C"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0ACE96E" w14:textId="77777777" w:rsidR="007D6BF4" w:rsidRDefault="00000000">
            <w:r>
              <w:rPr>
                <w:b/>
                <w:bCs/>
                <w:color w:val="FFFFFF"/>
                <w:sz w:val="18"/>
                <w:szCs w:val="18"/>
              </w:rPr>
              <w:lastRenderedPageBreak/>
              <w:t>Variable</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83F76E" w14:textId="77777777" w:rsidR="007D6BF4" w:rsidRDefault="00000000">
            <w:r>
              <w:rPr>
                <w:b/>
                <w:bCs/>
                <w:color w:val="FFFFFF"/>
                <w:sz w:val="18"/>
                <w:szCs w:val="18"/>
              </w:rPr>
              <w:t>Type</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5B801F8" w14:textId="77777777" w:rsidR="007D6BF4" w:rsidRDefault="00000000">
            <w:r>
              <w:rPr>
                <w:b/>
                <w:bCs/>
                <w:color w:val="FFFFFF"/>
                <w:sz w:val="18"/>
                <w:szCs w:val="18"/>
              </w:rPr>
              <w:t>Measurement / Categories</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F3033C0" w14:textId="77777777" w:rsidR="007D6BF4" w:rsidRDefault="00000000">
            <w:r>
              <w:rPr>
                <w:b/>
                <w:bCs/>
                <w:color w:val="FFFFFF"/>
                <w:sz w:val="18"/>
                <w:szCs w:val="18"/>
              </w:rPr>
              <w:t>Scale</w:t>
            </w:r>
          </w:p>
        </w:tc>
      </w:tr>
      <w:tr w:rsidR="007D6BF4" w14:paraId="0ADF9358"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77D6AF74" w14:textId="77777777" w:rsidR="007D6BF4" w:rsidRDefault="00000000">
            <w:r>
              <w:rPr>
                <w:sz w:val="18"/>
                <w:szCs w:val="18"/>
              </w:rPr>
              <w:t>Poverty Status</w:t>
            </w:r>
          </w:p>
        </w:tc>
        <w:tc>
          <w:tcPr>
            <w:tcW w:w="16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0215EE01" w14:textId="77777777" w:rsidR="007D6BF4" w:rsidRDefault="00000000">
            <w:r>
              <w:rPr>
                <w:sz w:val="18"/>
                <w:szCs w:val="18"/>
              </w:rPr>
              <w:t>Dependent</w:t>
            </w:r>
          </w:p>
        </w:tc>
        <w:tc>
          <w:tcPr>
            <w:tcW w:w="32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1E584F64" w14:textId="41FB8270" w:rsidR="007D6BF4" w:rsidRDefault="00000000">
            <w:r>
              <w:rPr>
                <w:sz w:val="18"/>
                <w:szCs w:val="18"/>
              </w:rPr>
              <w:t xml:space="preserve">Poor = 1 / </w:t>
            </w:r>
            <w:r w:rsidR="005738DF">
              <w:rPr>
                <w:sz w:val="18"/>
                <w:szCs w:val="18"/>
              </w:rPr>
              <w:t>non-poor</w:t>
            </w:r>
            <w:r>
              <w:rPr>
                <w:sz w:val="18"/>
                <w:szCs w:val="18"/>
              </w:rPr>
              <w:t xml:space="preserve"> = 0</w:t>
            </w:r>
          </w:p>
        </w:tc>
        <w:tc>
          <w:tcPr>
            <w:tcW w:w="14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3CEA7D8E" w14:textId="77777777" w:rsidR="007D6BF4" w:rsidRDefault="00000000">
            <w:r>
              <w:rPr>
                <w:sz w:val="18"/>
                <w:szCs w:val="18"/>
              </w:rPr>
              <w:t>Nominal</w:t>
            </w:r>
          </w:p>
        </w:tc>
      </w:tr>
      <w:tr w:rsidR="007D6BF4" w14:paraId="029641E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2459E1" w14:textId="77777777" w:rsidR="007D6BF4" w:rsidRDefault="00000000">
            <w:r>
              <w:rPr>
                <w:sz w:val="18"/>
                <w:szCs w:val="18"/>
              </w:rPr>
              <w:t>Age of HH Head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98EE73" w14:textId="77777777" w:rsidR="007D6BF4" w:rsidRDefault="00000000">
            <w:r>
              <w:rPr>
                <w:sz w:val="18"/>
                <w:szCs w:val="18"/>
              </w:rPr>
              <w:t>Independent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005FDB" w14:textId="77777777" w:rsidR="007D6BF4" w:rsidRDefault="00000000">
            <w:r>
              <w:rPr>
                <w:sz w:val="18"/>
                <w:szCs w:val="18"/>
              </w:rPr>
              <w:t>Continuous (years)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6A4999" w14:textId="77777777" w:rsidR="007D6BF4" w:rsidRDefault="00000000">
            <w:r>
              <w:rPr>
                <w:sz w:val="18"/>
                <w:szCs w:val="18"/>
              </w:rPr>
              <w:t>Ratio</w:t>
            </w:r>
          </w:p>
        </w:tc>
      </w:tr>
      <w:tr w:rsidR="007D6BF4" w14:paraId="268C6A86"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596C2F03" w14:textId="77777777" w:rsidR="007D6BF4" w:rsidRDefault="00000000">
            <w:r>
              <w:rPr>
                <w:sz w:val="18"/>
                <w:szCs w:val="18"/>
              </w:rPr>
              <w:t>Sex of HH Head</w:t>
            </w:r>
          </w:p>
        </w:tc>
        <w:tc>
          <w:tcPr>
            <w:tcW w:w="16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265460FB" w14:textId="77777777" w:rsidR="007D6BF4" w:rsidRDefault="00000000">
            <w:r>
              <w:rPr>
                <w:sz w:val="18"/>
                <w:szCs w:val="18"/>
              </w:rPr>
              <w:t>Independent</w:t>
            </w:r>
          </w:p>
        </w:tc>
        <w:tc>
          <w:tcPr>
            <w:tcW w:w="32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0E195454" w14:textId="77777777" w:rsidR="007D6BF4" w:rsidRDefault="00000000">
            <w:r>
              <w:rPr>
                <w:sz w:val="18"/>
                <w:szCs w:val="18"/>
              </w:rPr>
              <w:t>Male / Female</w:t>
            </w:r>
          </w:p>
        </w:tc>
        <w:tc>
          <w:tcPr>
            <w:tcW w:w="14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7CC4D781" w14:textId="77777777" w:rsidR="007D6BF4" w:rsidRDefault="00000000">
            <w:r>
              <w:rPr>
                <w:sz w:val="18"/>
                <w:szCs w:val="18"/>
              </w:rPr>
              <w:t>Nominal</w:t>
            </w:r>
          </w:p>
        </w:tc>
      </w:tr>
      <w:tr w:rsidR="007D6BF4" w14:paraId="454BB12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DF577D" w14:textId="77777777" w:rsidR="007D6BF4" w:rsidRDefault="00000000">
            <w:r>
              <w:rPr>
                <w:sz w:val="18"/>
                <w:szCs w:val="18"/>
              </w:rPr>
              <w:t>Marital Status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2C5B2F" w14:textId="77777777" w:rsidR="007D6BF4" w:rsidRDefault="00000000">
            <w:r>
              <w:rPr>
                <w:sz w:val="18"/>
                <w:szCs w:val="18"/>
              </w:rPr>
              <w:t>Independent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B2EED1" w14:textId="77777777" w:rsidR="007D6BF4" w:rsidRDefault="00000000">
            <w:r>
              <w:rPr>
                <w:sz w:val="18"/>
                <w:szCs w:val="18"/>
              </w:rPr>
              <w:t>Single / Married / Divorced / Widowed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80B279" w14:textId="77777777" w:rsidR="007D6BF4" w:rsidRDefault="00000000">
            <w:r>
              <w:rPr>
                <w:sz w:val="18"/>
                <w:szCs w:val="18"/>
              </w:rPr>
              <w:t>Nominal</w:t>
            </w:r>
          </w:p>
        </w:tc>
      </w:tr>
      <w:tr w:rsidR="007D6BF4" w14:paraId="0B85FCB9"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03D94121" w14:textId="77777777" w:rsidR="007D6BF4" w:rsidRDefault="00000000">
            <w:r>
              <w:rPr>
                <w:sz w:val="18"/>
                <w:szCs w:val="18"/>
              </w:rPr>
              <w:t>Household Size</w:t>
            </w:r>
          </w:p>
        </w:tc>
        <w:tc>
          <w:tcPr>
            <w:tcW w:w="16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40A4356D" w14:textId="77777777" w:rsidR="007D6BF4" w:rsidRDefault="00000000">
            <w:r>
              <w:rPr>
                <w:sz w:val="18"/>
                <w:szCs w:val="18"/>
              </w:rPr>
              <w:t>Independent</w:t>
            </w:r>
          </w:p>
        </w:tc>
        <w:tc>
          <w:tcPr>
            <w:tcW w:w="32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76A27767" w14:textId="77777777" w:rsidR="007D6BF4" w:rsidRDefault="00000000">
            <w:r>
              <w:rPr>
                <w:sz w:val="18"/>
                <w:szCs w:val="18"/>
              </w:rPr>
              <w:t>Count of household members</w:t>
            </w:r>
          </w:p>
        </w:tc>
        <w:tc>
          <w:tcPr>
            <w:tcW w:w="14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51CB9E55" w14:textId="77777777" w:rsidR="007D6BF4" w:rsidRDefault="00000000">
            <w:r>
              <w:rPr>
                <w:sz w:val="18"/>
                <w:szCs w:val="18"/>
              </w:rPr>
              <w:t>Ratio</w:t>
            </w:r>
          </w:p>
        </w:tc>
      </w:tr>
      <w:tr w:rsidR="007D6BF4" w14:paraId="6B0E0B5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3CF084" w14:textId="77777777" w:rsidR="007D6BF4" w:rsidRDefault="00000000">
            <w:r>
              <w:rPr>
                <w:sz w:val="18"/>
                <w:szCs w:val="18"/>
              </w:rPr>
              <w:t>Dependency Ratio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E3D157" w14:textId="77777777" w:rsidR="007D6BF4" w:rsidRDefault="00000000">
            <w:r>
              <w:rPr>
                <w:sz w:val="18"/>
                <w:szCs w:val="18"/>
              </w:rPr>
              <w:t>Independent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E2EB32" w14:textId="77777777" w:rsidR="007D6BF4" w:rsidRDefault="00000000">
            <w:r>
              <w:rPr>
                <w:sz w:val="18"/>
                <w:szCs w:val="18"/>
              </w:rPr>
              <w:t>Continuous (ratio)</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65A8EB" w14:textId="77777777" w:rsidR="007D6BF4" w:rsidRDefault="00000000">
            <w:r>
              <w:rPr>
                <w:sz w:val="18"/>
                <w:szCs w:val="18"/>
              </w:rPr>
              <w:t>Ratio</w:t>
            </w:r>
          </w:p>
        </w:tc>
      </w:tr>
      <w:tr w:rsidR="007D6BF4" w14:paraId="5E06EA82"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14D63638" w14:textId="77777777" w:rsidR="007D6BF4" w:rsidRDefault="00000000">
            <w:r>
              <w:rPr>
                <w:sz w:val="18"/>
                <w:szCs w:val="18"/>
              </w:rPr>
              <w:t>Education Level</w:t>
            </w:r>
          </w:p>
        </w:tc>
        <w:tc>
          <w:tcPr>
            <w:tcW w:w="16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78EAB092" w14:textId="77777777" w:rsidR="007D6BF4" w:rsidRDefault="00000000">
            <w:r>
              <w:rPr>
                <w:sz w:val="18"/>
                <w:szCs w:val="18"/>
              </w:rPr>
              <w:t>Independent</w:t>
            </w:r>
          </w:p>
        </w:tc>
        <w:tc>
          <w:tcPr>
            <w:tcW w:w="32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5E84D403" w14:textId="77777777" w:rsidR="007D6BF4" w:rsidRDefault="00000000">
            <w:r>
              <w:rPr>
                <w:sz w:val="18"/>
                <w:szCs w:val="18"/>
              </w:rPr>
              <w:t>None / Primary / Secondary / Higher</w:t>
            </w:r>
          </w:p>
        </w:tc>
        <w:tc>
          <w:tcPr>
            <w:tcW w:w="14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28C66469" w14:textId="77777777" w:rsidR="007D6BF4" w:rsidRDefault="00000000">
            <w:r>
              <w:rPr>
                <w:sz w:val="18"/>
                <w:szCs w:val="18"/>
              </w:rPr>
              <w:t>Ordinal</w:t>
            </w:r>
          </w:p>
        </w:tc>
      </w:tr>
      <w:tr w:rsidR="007D6BF4" w14:paraId="7DAB77A5"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5F5950" w14:textId="77777777" w:rsidR="007D6BF4" w:rsidRDefault="00000000">
            <w:r>
              <w:rPr>
                <w:sz w:val="18"/>
                <w:szCs w:val="18"/>
              </w:rPr>
              <w:t>Employment Status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F234F8" w14:textId="77777777" w:rsidR="007D6BF4" w:rsidRDefault="00000000">
            <w:r>
              <w:rPr>
                <w:sz w:val="18"/>
                <w:szCs w:val="18"/>
              </w:rPr>
              <w:t>Independent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E6DEF1" w14:textId="77777777" w:rsidR="007D6BF4" w:rsidRDefault="00000000">
            <w:r>
              <w:rPr>
                <w:sz w:val="18"/>
                <w:szCs w:val="18"/>
              </w:rPr>
              <w:t>Employed / Unemployed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39D04" w14:textId="77777777" w:rsidR="007D6BF4" w:rsidRDefault="00000000">
            <w:r>
              <w:rPr>
                <w:sz w:val="18"/>
                <w:szCs w:val="18"/>
              </w:rPr>
              <w:t>Nominal</w:t>
            </w:r>
          </w:p>
        </w:tc>
      </w:tr>
      <w:tr w:rsidR="007D6BF4" w14:paraId="219AE651"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3619E2F0" w14:textId="77777777" w:rsidR="007D6BF4" w:rsidRDefault="00000000">
            <w:r>
              <w:rPr>
                <w:sz w:val="18"/>
                <w:szCs w:val="18"/>
              </w:rPr>
              <w:t>Residence</w:t>
            </w:r>
          </w:p>
        </w:tc>
        <w:tc>
          <w:tcPr>
            <w:tcW w:w="16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1A23DD8B" w14:textId="77777777" w:rsidR="007D6BF4" w:rsidRDefault="00000000">
            <w:r>
              <w:rPr>
                <w:sz w:val="18"/>
                <w:szCs w:val="18"/>
              </w:rPr>
              <w:t>Independent</w:t>
            </w:r>
          </w:p>
        </w:tc>
        <w:tc>
          <w:tcPr>
            <w:tcW w:w="32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6CF6D47E" w14:textId="77777777" w:rsidR="007D6BF4" w:rsidRDefault="00000000">
            <w:r>
              <w:rPr>
                <w:sz w:val="18"/>
                <w:szCs w:val="18"/>
              </w:rPr>
              <w:t>Urban / Rural</w:t>
            </w:r>
          </w:p>
        </w:tc>
        <w:tc>
          <w:tcPr>
            <w:tcW w:w="14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5442CC0D" w14:textId="77777777" w:rsidR="007D6BF4" w:rsidRDefault="00000000">
            <w:r>
              <w:rPr>
                <w:sz w:val="18"/>
                <w:szCs w:val="18"/>
              </w:rPr>
              <w:t>Nominal</w:t>
            </w:r>
          </w:p>
        </w:tc>
      </w:tr>
      <w:tr w:rsidR="007D6BF4" w14:paraId="6278EADD"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8271DD" w14:textId="77777777" w:rsidR="007D6BF4" w:rsidRDefault="00000000">
            <w:r>
              <w:rPr>
                <w:sz w:val="18"/>
                <w:szCs w:val="18"/>
              </w:rPr>
              <w:t>Access to Electricity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570D37" w14:textId="77777777" w:rsidR="007D6BF4" w:rsidRDefault="00000000">
            <w:r>
              <w:rPr>
                <w:sz w:val="18"/>
                <w:szCs w:val="18"/>
              </w:rPr>
              <w:t>Independent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A2E055" w14:textId="77777777" w:rsidR="007D6BF4" w:rsidRDefault="00000000">
            <w:r>
              <w:rPr>
                <w:sz w:val="18"/>
                <w:szCs w:val="18"/>
              </w:rPr>
              <w:t>Yes / No</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84DF56" w14:textId="77777777" w:rsidR="007D6BF4" w:rsidRDefault="00000000">
            <w:r>
              <w:rPr>
                <w:sz w:val="18"/>
                <w:szCs w:val="18"/>
              </w:rPr>
              <w:t>Nominal</w:t>
            </w:r>
          </w:p>
        </w:tc>
      </w:tr>
      <w:tr w:rsidR="007D6BF4" w14:paraId="20D6FEA2"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53D70D9B" w14:textId="77777777" w:rsidR="007D6BF4" w:rsidRDefault="00000000">
            <w:r>
              <w:rPr>
                <w:sz w:val="18"/>
                <w:szCs w:val="18"/>
              </w:rPr>
              <w:t>Land Ownership</w:t>
            </w:r>
          </w:p>
        </w:tc>
        <w:tc>
          <w:tcPr>
            <w:tcW w:w="16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7C31CDAB" w14:textId="77777777" w:rsidR="007D6BF4" w:rsidRDefault="00000000">
            <w:r>
              <w:rPr>
                <w:sz w:val="18"/>
                <w:szCs w:val="18"/>
              </w:rPr>
              <w:t>Independent</w:t>
            </w:r>
          </w:p>
        </w:tc>
        <w:tc>
          <w:tcPr>
            <w:tcW w:w="32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1DAC1B93" w14:textId="77777777" w:rsidR="007D6BF4" w:rsidRDefault="00000000">
            <w:r>
              <w:rPr>
                <w:sz w:val="18"/>
                <w:szCs w:val="18"/>
              </w:rPr>
              <w:t>Yes / No</w:t>
            </w:r>
          </w:p>
        </w:tc>
        <w:tc>
          <w:tcPr>
            <w:tcW w:w="1400" w:type="dxa"/>
            <w:tcBorders>
              <w:top w:val="single" w:sz="1" w:space="0" w:color="AAAAAA"/>
              <w:left w:val="single" w:sz="1" w:space="0" w:color="AAAAAA"/>
              <w:bottom w:val="single" w:sz="1" w:space="0" w:color="AAAAAA"/>
              <w:right w:val="single" w:sz="1" w:space="0" w:color="AAAAAA"/>
            </w:tcBorders>
            <w:shd w:val="clear" w:color="auto" w:fill="F5F8FB"/>
            <w:tcMar>
              <w:top w:w="60" w:type="dxa"/>
              <w:left w:w="120" w:type="dxa"/>
              <w:bottom w:w="60" w:type="dxa"/>
              <w:right w:w="120" w:type="dxa"/>
            </w:tcMar>
          </w:tcPr>
          <w:p w14:paraId="6EAA9304" w14:textId="77777777" w:rsidR="007D6BF4" w:rsidRDefault="00000000">
            <w:r>
              <w:rPr>
                <w:sz w:val="18"/>
                <w:szCs w:val="18"/>
              </w:rPr>
              <w:t>Nominal</w:t>
            </w:r>
          </w:p>
        </w:tc>
      </w:tr>
    </w:tbl>
    <w:p w14:paraId="72F36231" w14:textId="77777777" w:rsidR="007D6BF4" w:rsidRDefault="00000000">
      <w:pPr>
        <w:spacing w:after="160"/>
        <w:jc w:val="both"/>
      </w:pPr>
      <w:r>
        <w:t>Note. HH = household head. Wealth quintiles in EICV are based on per capita consumption expenditure.</w:t>
      </w:r>
    </w:p>
    <w:p w14:paraId="7E0AEDBB" w14:textId="77777777" w:rsidR="007D6BF4" w:rsidRDefault="007D6BF4">
      <w:pPr>
        <w:spacing w:after="80"/>
      </w:pPr>
    </w:p>
    <w:p w14:paraId="044F098F" w14:textId="77777777" w:rsidR="007D6BF4" w:rsidRDefault="00000000">
      <w:pPr>
        <w:pStyle w:val="Heading2"/>
      </w:pPr>
      <w:r>
        <w:t>3.8 Data Analysis Methods</w:t>
      </w:r>
    </w:p>
    <w:p w14:paraId="672E78B5" w14:textId="77777777" w:rsidR="007D6BF4" w:rsidRDefault="00000000">
      <w:pPr>
        <w:pStyle w:val="Heading3"/>
      </w:pPr>
      <w:r>
        <w:t>3.8.1 Descriptive Statistics</w:t>
      </w:r>
    </w:p>
    <w:p w14:paraId="7CD995B6" w14:textId="516AD5FD" w:rsidR="007D6BF4" w:rsidRDefault="00000000">
      <w:pPr>
        <w:spacing w:after="160"/>
        <w:ind w:firstLine="720"/>
        <w:jc w:val="both"/>
      </w:pPr>
      <w:r>
        <w:t xml:space="preserve">Descriptive statistical analysis is used to </w:t>
      </w:r>
      <w:r w:rsidR="005738DF">
        <w:t>summarize</w:t>
      </w:r>
      <w:r>
        <w:t xml:space="preserve"> and describe the study sample. The following measures are applied:</w:t>
      </w:r>
    </w:p>
    <w:p w14:paraId="42515EC7" w14:textId="0361BC47" w:rsidR="007D6BF4" w:rsidRDefault="00000000">
      <w:pPr>
        <w:pStyle w:val="ListParagraph"/>
        <w:numPr>
          <w:ilvl w:val="0"/>
          <w:numId w:val="2"/>
        </w:numPr>
        <w:spacing w:before="60" w:after="60"/>
        <w:jc w:val="both"/>
      </w:pPr>
      <w:r>
        <w:t>Frequencies and percentages to describe the distribution of categorical variables (sex, education, marital status, residence, employment, electricity access, and land ownership) and to show poverty prevalence across subgroups.</w:t>
      </w:r>
    </w:p>
    <w:p w14:paraId="46ADD547" w14:textId="578093AF" w:rsidR="007D6BF4" w:rsidRDefault="00000000">
      <w:pPr>
        <w:pStyle w:val="ListParagraph"/>
        <w:numPr>
          <w:ilvl w:val="0"/>
          <w:numId w:val="2"/>
        </w:numPr>
        <w:spacing w:before="60" w:after="60"/>
        <w:jc w:val="both"/>
      </w:pPr>
      <w:r>
        <w:t xml:space="preserve">Means and standard </w:t>
      </w:r>
      <w:proofErr w:type="gramStart"/>
      <w:r>
        <w:t>deviations  to</w:t>
      </w:r>
      <w:proofErr w:type="gramEnd"/>
      <w:r>
        <w:t xml:space="preserve"> </w:t>
      </w:r>
      <w:r w:rsidR="005738DF">
        <w:t>summarize</w:t>
      </w:r>
      <w:r>
        <w:t xml:space="preserve"> continuous variables, particularly age, household size, and dependency ratio.</w:t>
      </w:r>
    </w:p>
    <w:p w14:paraId="15DBEE98" w14:textId="12A3A5CB" w:rsidR="007D6BF4" w:rsidRDefault="00000000">
      <w:pPr>
        <w:pStyle w:val="ListParagraph"/>
        <w:numPr>
          <w:ilvl w:val="0"/>
          <w:numId w:val="2"/>
        </w:numPr>
        <w:spacing w:before="60" w:after="60"/>
        <w:jc w:val="both"/>
      </w:pPr>
      <w:r>
        <w:t>Cross-tabulations with chi-square tests to examine the relationship between each independent variable and poverty status before conducting multivariate analysis.</w:t>
      </w:r>
    </w:p>
    <w:p w14:paraId="315D02FA" w14:textId="77777777" w:rsidR="007D6BF4" w:rsidRDefault="007D6BF4">
      <w:pPr>
        <w:spacing w:after="80"/>
      </w:pPr>
    </w:p>
    <w:p w14:paraId="58480EC7" w14:textId="77777777" w:rsidR="007D6BF4" w:rsidRDefault="00000000">
      <w:pPr>
        <w:pStyle w:val="Heading3"/>
      </w:pPr>
      <w:r>
        <w:t>3.8.2 Binary Logistic Regression</w:t>
      </w:r>
    </w:p>
    <w:p w14:paraId="1D9D46F8" w14:textId="7830F5A0" w:rsidR="007D6BF4" w:rsidRDefault="00000000" w:rsidP="005738DF">
      <w:pPr>
        <w:spacing w:after="160"/>
        <w:ind w:firstLine="720"/>
        <w:jc w:val="both"/>
      </w:pPr>
      <w:r>
        <w:t xml:space="preserve">Since the dependent variable (poverty status) is binary, binary logistic regression is the appropriate statistical model (Hosmer &amp; </w:t>
      </w:r>
      <w:proofErr w:type="spellStart"/>
      <w:r>
        <w:t>Lemeshow</w:t>
      </w:r>
      <w:proofErr w:type="spellEnd"/>
      <w:r>
        <w:t xml:space="preserve">, 2013). Logistic regression models the log-odds of the outcome as a linear combination of independent variables. </w:t>
      </w:r>
    </w:p>
    <w:p w14:paraId="35B84F51" w14:textId="77777777" w:rsidR="007D6BF4" w:rsidRDefault="00000000">
      <w:pPr>
        <w:pStyle w:val="Heading2"/>
      </w:pPr>
      <w:r>
        <w:t>3.9 Diagnostic Tests</w:t>
      </w:r>
    </w:p>
    <w:p w14:paraId="7AC7AB3E" w14:textId="77777777" w:rsidR="007D6BF4" w:rsidRDefault="00000000">
      <w:pPr>
        <w:pStyle w:val="Heading3"/>
      </w:pPr>
      <w:r>
        <w:t>3.9.1 Multicollinearity Test</w:t>
      </w:r>
    </w:p>
    <w:p w14:paraId="59015B0A" w14:textId="77777777" w:rsidR="007D6BF4" w:rsidRDefault="00000000">
      <w:pPr>
        <w:spacing w:after="160"/>
        <w:ind w:firstLine="720"/>
        <w:jc w:val="both"/>
      </w:pPr>
      <w:r>
        <w:t xml:space="preserve">To check whether any independent variables are too highly correlated with each other, the Variance Inflation Factor (VIF) is calculated for each predictor after fitting the logistic regression model. Variables with a VIF greater than 10 are considered to have severe multicollinearity and </w:t>
      </w:r>
      <w:r>
        <w:lastRenderedPageBreak/>
        <w:t>will be addressed by removing or transforming the affected variable (Hair et al., 2019). Some correlation between education, employment, and place of residence is expected and will be examined.</w:t>
      </w:r>
    </w:p>
    <w:p w14:paraId="240E6FAB" w14:textId="77777777" w:rsidR="007D6BF4" w:rsidRDefault="00000000">
      <w:pPr>
        <w:pStyle w:val="Heading3"/>
      </w:pPr>
      <w:r>
        <w:t>3.9.2 Hosmer-</w:t>
      </w:r>
      <w:proofErr w:type="spellStart"/>
      <w:r>
        <w:t>Lemeshow</w:t>
      </w:r>
      <w:proofErr w:type="spellEnd"/>
      <w:r>
        <w:t xml:space="preserve"> Goodness-of-Fit Test</w:t>
      </w:r>
    </w:p>
    <w:p w14:paraId="58DEAF36" w14:textId="77777777" w:rsidR="007D6BF4" w:rsidRDefault="00000000">
      <w:pPr>
        <w:spacing w:after="160"/>
        <w:ind w:firstLine="720"/>
        <w:jc w:val="both"/>
      </w:pPr>
      <w:r>
        <w:t>The Hosmer-</w:t>
      </w:r>
      <w:proofErr w:type="spellStart"/>
      <w:r>
        <w:t>Lemeshow</w:t>
      </w:r>
      <w:proofErr w:type="spellEnd"/>
      <w:r>
        <w:t xml:space="preserve"> (HL) test is used to evaluate how well the logistic regression model fits the data (Hosmer &amp; </w:t>
      </w:r>
      <w:proofErr w:type="spellStart"/>
      <w:r>
        <w:t>Lemeshow</w:t>
      </w:r>
      <w:proofErr w:type="spellEnd"/>
      <w:r>
        <w:t>, 2013). The test compares the observed and expected number of poor households across ten groups of predicted probability. A non-significant result (p &gt; 0.05) indicates that the model fits the data adequately. If the test reveals poor fit, additional predictors or interaction terms will be considered.</w:t>
      </w:r>
    </w:p>
    <w:p w14:paraId="71F49E61" w14:textId="77777777" w:rsidR="007D6BF4" w:rsidRDefault="00000000">
      <w:pPr>
        <w:pStyle w:val="Heading3"/>
      </w:pPr>
      <w:r>
        <w:t>3.9.3 Model Discrimination: ROC Curve and AUC</w:t>
      </w:r>
    </w:p>
    <w:p w14:paraId="506CE16E" w14:textId="77777777" w:rsidR="007D6BF4" w:rsidRDefault="00000000">
      <w:pPr>
        <w:spacing w:after="160"/>
        <w:ind w:firstLine="720"/>
        <w:jc w:val="both"/>
      </w:pPr>
      <w:r>
        <w:t xml:space="preserve">The ability of the model to distinguish between poor and non-poor households is assessed using the Receiver Operating Characteristic (ROC) curve and the Area Under the Curve (AUC). An AUC of 0.5 means the model performs no better than chance, while values approaching 1.0 indicate excellent discrimination. An AUC of 0.7 or above is generally considered acceptable for a poverty prediction model (Hosmer &amp; </w:t>
      </w:r>
      <w:proofErr w:type="spellStart"/>
      <w:r>
        <w:t>Lemeshow</w:t>
      </w:r>
      <w:proofErr w:type="spellEnd"/>
      <w:r>
        <w:t>, 2013).</w:t>
      </w:r>
    </w:p>
    <w:p w14:paraId="7C110BE7" w14:textId="77777777" w:rsidR="007D6BF4" w:rsidRDefault="00000000">
      <w:pPr>
        <w:pStyle w:val="Heading3"/>
      </w:pPr>
      <w:r>
        <w:t>3.9.4 Classification Accuracy</w:t>
      </w:r>
    </w:p>
    <w:p w14:paraId="3502A00B" w14:textId="3393F4C2" w:rsidR="007D6BF4" w:rsidRDefault="00000000">
      <w:pPr>
        <w:spacing w:after="160"/>
        <w:ind w:firstLine="720"/>
        <w:jc w:val="both"/>
      </w:pPr>
      <w:r>
        <w:t xml:space="preserve">The overall accuracy of the model is assessed using a classification </w:t>
      </w:r>
      <w:proofErr w:type="gramStart"/>
      <w:r>
        <w:t>table  also</w:t>
      </w:r>
      <w:proofErr w:type="gramEnd"/>
      <w:r>
        <w:t xml:space="preserve"> known as a confusion matrix which reports sensitivity (the proportion of poor households correctly identified), specificity (the proportion of non-poor households correctly identified), and overall accuracy. A classification threshold of 0.5 is used as the default, with alternative thresholds considered if the poverty prevalence in the sample differs substantially from 50 per cent.</w:t>
      </w:r>
    </w:p>
    <w:p w14:paraId="40C29B0A" w14:textId="77777777" w:rsidR="007D6BF4" w:rsidRDefault="00000000">
      <w:pPr>
        <w:pStyle w:val="Heading2"/>
      </w:pPr>
      <w:r>
        <w:t>3.10 Ethical Considerations</w:t>
      </w:r>
    </w:p>
    <w:p w14:paraId="04C2AEB2" w14:textId="1C6E702C" w:rsidR="007D6BF4" w:rsidRDefault="00000000">
      <w:pPr>
        <w:spacing w:after="160"/>
        <w:ind w:firstLine="720"/>
        <w:jc w:val="both"/>
      </w:pPr>
      <w:r>
        <w:t>This study uses publicly available, de-identified secondary data from the EICV7 survey. The data are accessible from NISR upon registration and approval for academic use. Since no primary data collection is involved, the ethical responsibilities associated with original research such as obtaining informed consent and managing participant confidentiality were fulfilled by the agencies that conducted the original EICV7 survey.</w:t>
      </w:r>
    </w:p>
    <w:p w14:paraId="3BB490E5" w14:textId="77777777" w:rsidR="007D6BF4" w:rsidRDefault="00000000">
      <w:pPr>
        <w:spacing w:after="160"/>
        <w:ind w:firstLine="720"/>
        <w:jc w:val="both"/>
      </w:pPr>
      <w:r>
        <w:t>The EICV7 obtained the necessary ethical clearances from Rwandan national bodies, and individual household identifiers have been removed from the public-use dataset to protect respondent anonymity. This study fully complies with NISR's data use agreement, which prohibits any attempt to identify individual respondents and requires proper citation of the dataset in all publications.</w:t>
      </w:r>
    </w:p>
    <w:p w14:paraId="19277DCE" w14:textId="73C68A91" w:rsidR="007D6BF4" w:rsidRDefault="00000000">
      <w:pPr>
        <w:spacing w:after="160"/>
        <w:ind w:firstLine="720"/>
        <w:jc w:val="both"/>
      </w:pPr>
      <w:r>
        <w:t xml:space="preserve">The findings of this study will be presented honestly and objectively, without misrepresentation. No individual, community, or social group will be </w:t>
      </w:r>
      <w:r w:rsidR="005738DF">
        <w:t>stigmatized</w:t>
      </w:r>
      <w:r>
        <w:t xml:space="preserve"> based on the results. The study does not involve any sensitive personal information beyond what is already contained in the de-identified EICV7 dataset.</w:t>
      </w:r>
    </w:p>
    <w:p w14:paraId="1B120ECC" w14:textId="77777777" w:rsidR="007D6BF4" w:rsidRDefault="00000000">
      <w:pPr>
        <w:pStyle w:val="Heading2"/>
      </w:pPr>
      <w:r>
        <w:t>3.11 Limitations of the Study</w:t>
      </w:r>
    </w:p>
    <w:p w14:paraId="1ECE5C1D" w14:textId="0F37F4F9" w:rsidR="007D6BF4" w:rsidRDefault="00000000">
      <w:pPr>
        <w:spacing w:after="160"/>
        <w:ind w:firstLine="720"/>
        <w:jc w:val="both"/>
      </w:pPr>
      <w:r>
        <w:lastRenderedPageBreak/>
        <w:t xml:space="preserve">This study has several limitations that should be kept in mind when reading the findings. First, because the EICV7 data are cross-sectional, causal conclusions cannot be drawn. Only statistical associations between </w:t>
      </w:r>
      <w:r w:rsidR="005738DF">
        <w:t>independent</w:t>
      </w:r>
      <w:r>
        <w:t xml:space="preserve"> variables and poverty status can be established. Longitudinal data would be needed to determine the direction and causality of the relationships.</w:t>
      </w:r>
    </w:p>
    <w:p w14:paraId="6DB07A42" w14:textId="61D2AE11" w:rsidR="007D6BF4" w:rsidRDefault="00000000">
      <w:pPr>
        <w:spacing w:after="160"/>
        <w:ind w:firstLine="720"/>
        <w:jc w:val="both"/>
      </w:pPr>
      <w:r>
        <w:t>Second, the dependent variable</w:t>
      </w:r>
      <w:r w:rsidR="005738DF">
        <w:t xml:space="preserve"> </w:t>
      </w:r>
      <w:r>
        <w:t>household poverty status based on consumption expenditure does not capture all aspects of poverty, such as asset poverty, time poverty, or subjective wellbeing. A multidimensional poverty measure would give a fuller picture but is beyond the scope of this study.</w:t>
      </w:r>
    </w:p>
    <w:p w14:paraId="264F18E2" w14:textId="086FC953" w:rsidR="007D6BF4" w:rsidRDefault="00000000">
      <w:pPr>
        <w:spacing w:after="160"/>
        <w:ind w:firstLine="720"/>
        <w:jc w:val="both"/>
      </w:pPr>
      <w:r>
        <w:t>Third, the study is limited to the ten independent variables selected based on their theoretical and empirical importance. Other potentially relevant factors such as household access to credit, distance to markets, rainfall variability, and community-level infrastructure are not included. Their absence may lead to some residual confounding.</w:t>
      </w:r>
    </w:p>
    <w:p w14:paraId="437A66F3" w14:textId="0529DD92" w:rsidR="007D6BF4" w:rsidRDefault="00000000">
      <w:pPr>
        <w:spacing w:after="160"/>
        <w:ind w:firstLine="720"/>
        <w:jc w:val="both"/>
      </w:pPr>
      <w:r>
        <w:t xml:space="preserve">Fourth, self-reported data on income, employment, and land ownership in household surveys may contain measurement errors or recall bias, although NISR uses rigorous training and quality control procedures to </w:t>
      </w:r>
      <w:r w:rsidR="005738DF">
        <w:t>minimize</w:t>
      </w:r>
      <w:r>
        <w:t xml:space="preserve"> such problems.</w:t>
      </w:r>
    </w:p>
    <w:p w14:paraId="49CC51BE" w14:textId="77777777" w:rsidR="007D6BF4" w:rsidRDefault="00000000">
      <w:pPr>
        <w:spacing w:after="160"/>
        <w:ind w:firstLine="720"/>
        <w:jc w:val="both"/>
      </w:pPr>
      <w:r>
        <w:t>Despite these limitations, this study makes a valuable contribution to the evidence base on poverty determinants in Rwanda by applying binary logistic regression to the most recent nationally representative household survey data.</w:t>
      </w:r>
    </w:p>
    <w:p w14:paraId="3E68BB38" w14:textId="77777777" w:rsidR="007D6BF4" w:rsidRDefault="007D6BF4">
      <w:pPr>
        <w:pageBreakBefore/>
      </w:pPr>
    </w:p>
    <w:p w14:paraId="52E31AF9" w14:textId="77777777" w:rsidR="007D6BF4" w:rsidRDefault="00000000">
      <w:pPr>
        <w:pStyle w:val="Heading1"/>
      </w:pPr>
      <w:r>
        <w:t>REFERENCES</w:t>
      </w:r>
    </w:p>
    <w:p w14:paraId="6D8EB52B" w14:textId="77777777" w:rsidR="007D6BF4" w:rsidRDefault="007D6BF4">
      <w:pPr>
        <w:spacing w:after="80"/>
      </w:pPr>
    </w:p>
    <w:p w14:paraId="16C93659" w14:textId="77777777" w:rsidR="007D6BF4" w:rsidRDefault="00000000">
      <w:pPr>
        <w:spacing w:after="160"/>
        <w:ind w:left="720" w:hanging="720"/>
        <w:jc w:val="both"/>
      </w:pPr>
      <w:r>
        <w:rPr>
          <w:sz w:val="22"/>
          <w:szCs w:val="22"/>
        </w:rPr>
        <w:t>Becker, G. S. (1964). Human capital: A theoretical and empirical analysis, with special reference to education. University of Chicago Press.</w:t>
      </w:r>
    </w:p>
    <w:p w14:paraId="4036B465" w14:textId="77777777" w:rsidR="007D6BF4" w:rsidRDefault="00000000">
      <w:pPr>
        <w:spacing w:after="160"/>
        <w:ind w:left="720" w:hanging="720"/>
        <w:jc w:val="both"/>
      </w:pPr>
      <w:r>
        <w:rPr>
          <w:sz w:val="22"/>
          <w:szCs w:val="22"/>
        </w:rPr>
        <w:t>Bloom, D. E., &amp; Canning, D. (2008). Global demographic change: Dimensions and economic significance. Population and Development Review, 34(Suppl.), 17–51.</w:t>
      </w:r>
    </w:p>
    <w:p w14:paraId="0DB36C26" w14:textId="77777777" w:rsidR="007D6BF4" w:rsidRDefault="00000000">
      <w:pPr>
        <w:spacing w:after="160"/>
        <w:ind w:left="720" w:hanging="720"/>
        <w:jc w:val="both"/>
      </w:pPr>
      <w:proofErr w:type="spellStart"/>
      <w:r>
        <w:rPr>
          <w:sz w:val="22"/>
          <w:szCs w:val="22"/>
        </w:rPr>
        <w:t>Bongaarts</w:t>
      </w:r>
      <w:proofErr w:type="spellEnd"/>
      <w:r>
        <w:rPr>
          <w:sz w:val="22"/>
          <w:szCs w:val="22"/>
        </w:rPr>
        <w:t>, J. (2020). Trends in fertility and fertility preferences in sub-Saharan Africa: The roles of education and family planning programs. Demography, 57(2), 535–555. https://doi.org/10.1007/s13524-020-00855-z</w:t>
      </w:r>
    </w:p>
    <w:p w14:paraId="37489F09" w14:textId="77777777" w:rsidR="007D6BF4" w:rsidRDefault="00000000">
      <w:pPr>
        <w:spacing w:after="160"/>
        <w:ind w:left="720" w:hanging="720"/>
        <w:jc w:val="both"/>
      </w:pPr>
      <w:r>
        <w:rPr>
          <w:sz w:val="22"/>
          <w:szCs w:val="22"/>
        </w:rPr>
        <w:t>Bourdieu, P. (1986). The forms of capital. In J. G. Richardson (Ed.), Handbook of theory and research for the sociology of education (pp. 241–258). Greenwood Press.</w:t>
      </w:r>
    </w:p>
    <w:p w14:paraId="7809DCB4" w14:textId="4A60B428" w:rsidR="007D6BF4" w:rsidRDefault="00000000">
      <w:pPr>
        <w:spacing w:after="160"/>
        <w:ind w:left="720" w:hanging="720"/>
        <w:jc w:val="both"/>
      </w:pPr>
      <w:r>
        <w:rPr>
          <w:sz w:val="22"/>
          <w:szCs w:val="22"/>
        </w:rPr>
        <w:t xml:space="preserve">Creswell, J. W., &amp; Creswell, J. D. (2018). Research design: Qualitative, quantitative, and mixed methods </w:t>
      </w:r>
      <w:r w:rsidR="005738DF">
        <w:rPr>
          <w:sz w:val="22"/>
          <w:szCs w:val="22"/>
        </w:rPr>
        <w:t>approach</w:t>
      </w:r>
      <w:r>
        <w:rPr>
          <w:sz w:val="22"/>
          <w:szCs w:val="22"/>
        </w:rPr>
        <w:t xml:space="preserve"> (5th ed.). Sage Publications.</w:t>
      </w:r>
    </w:p>
    <w:p w14:paraId="2D64EDB0" w14:textId="77777777" w:rsidR="007D6BF4" w:rsidRDefault="00000000">
      <w:pPr>
        <w:spacing w:after="160"/>
        <w:ind w:left="720" w:hanging="720"/>
        <w:jc w:val="both"/>
      </w:pPr>
      <w:r>
        <w:rPr>
          <w:sz w:val="22"/>
          <w:szCs w:val="22"/>
        </w:rPr>
        <w:t>Hair, J. F., Black, W. C., Babin, B. J., &amp; Anderson, R. E. (2019). Multivariate data analysis (8th ed.). Cengage Learning.</w:t>
      </w:r>
    </w:p>
    <w:p w14:paraId="13FF3C00" w14:textId="77777777" w:rsidR="007D6BF4" w:rsidRDefault="00000000">
      <w:pPr>
        <w:spacing w:after="160"/>
        <w:ind w:left="720" w:hanging="720"/>
        <w:jc w:val="both"/>
      </w:pPr>
      <w:r>
        <w:rPr>
          <w:sz w:val="22"/>
          <w:szCs w:val="22"/>
        </w:rPr>
        <w:t xml:space="preserve">Hosmer, D. W., &amp; </w:t>
      </w:r>
      <w:proofErr w:type="spellStart"/>
      <w:r>
        <w:rPr>
          <w:sz w:val="22"/>
          <w:szCs w:val="22"/>
        </w:rPr>
        <w:t>Lemeshow</w:t>
      </w:r>
      <w:proofErr w:type="spellEnd"/>
      <w:r>
        <w:rPr>
          <w:sz w:val="22"/>
          <w:szCs w:val="22"/>
        </w:rPr>
        <w:t>, S. (2013). Applied logistic regression (3rd ed.). Wiley.</w:t>
      </w:r>
    </w:p>
    <w:p w14:paraId="41AD9548" w14:textId="77777777" w:rsidR="007D6BF4" w:rsidRDefault="00000000">
      <w:pPr>
        <w:spacing w:after="160"/>
        <w:ind w:left="720" w:hanging="720"/>
        <w:jc w:val="both"/>
      </w:pPr>
      <w:r>
        <w:rPr>
          <w:sz w:val="22"/>
          <w:szCs w:val="22"/>
        </w:rPr>
        <w:t xml:space="preserve">Klasen, S., </w:t>
      </w:r>
      <w:proofErr w:type="spellStart"/>
      <w:r>
        <w:rPr>
          <w:sz w:val="22"/>
          <w:szCs w:val="22"/>
        </w:rPr>
        <w:t>Lechtenfeld</w:t>
      </w:r>
      <w:proofErr w:type="spellEnd"/>
      <w:r>
        <w:rPr>
          <w:sz w:val="22"/>
          <w:szCs w:val="22"/>
        </w:rPr>
        <w:t>, T., &amp; Povel, F. (2017). A feminization of vulnerability? Female headship, poverty, and vulnerability in Thailand and Vietnam. World Development, 71, 36–53. https://doi.org/10.1016/j.worlddev.2013.11.003</w:t>
      </w:r>
    </w:p>
    <w:p w14:paraId="3B44B75C" w14:textId="77777777" w:rsidR="007D6BF4" w:rsidRDefault="00000000">
      <w:pPr>
        <w:spacing w:after="160"/>
        <w:ind w:left="720" w:hanging="720"/>
        <w:jc w:val="both"/>
      </w:pPr>
      <w:proofErr w:type="spellStart"/>
      <w:r>
        <w:rPr>
          <w:sz w:val="22"/>
          <w:szCs w:val="22"/>
        </w:rPr>
        <w:t>Kravdal</w:t>
      </w:r>
      <w:proofErr w:type="spellEnd"/>
      <w:r>
        <w:rPr>
          <w:sz w:val="22"/>
          <w:szCs w:val="22"/>
        </w:rPr>
        <w:t>, O. (2020). Large and growing social inequality in the fertility of sub-Saharan African women: New evidence from DHS data. Demographic Research, 42(1), 1–36. https://doi.org/10.4054/DemRes.2020.42.1</w:t>
      </w:r>
    </w:p>
    <w:p w14:paraId="563B13D8" w14:textId="77777777" w:rsidR="007D6BF4" w:rsidRDefault="00000000">
      <w:pPr>
        <w:spacing w:after="160"/>
        <w:ind w:left="720" w:hanging="720"/>
        <w:jc w:val="both"/>
      </w:pPr>
      <w:r>
        <w:rPr>
          <w:sz w:val="22"/>
          <w:szCs w:val="22"/>
        </w:rPr>
        <w:t>Lerch, M. (2019). Regional variations in the rural-urban fertility gradient in the global South. PLOS ONE, 14(7), e0219624. https://doi.org/10.1371/journal.pone.0219624</w:t>
      </w:r>
    </w:p>
    <w:p w14:paraId="337533FD" w14:textId="77777777" w:rsidR="007D6BF4" w:rsidRDefault="00000000">
      <w:pPr>
        <w:spacing w:after="160"/>
        <w:ind w:left="720" w:hanging="720"/>
        <w:jc w:val="both"/>
      </w:pPr>
      <w:proofErr w:type="spellStart"/>
      <w:r>
        <w:rPr>
          <w:sz w:val="22"/>
          <w:szCs w:val="22"/>
        </w:rPr>
        <w:t>Mitirunga</w:t>
      </w:r>
      <w:proofErr w:type="spellEnd"/>
      <w:r>
        <w:rPr>
          <w:sz w:val="22"/>
          <w:szCs w:val="22"/>
        </w:rPr>
        <w:t>, G. (2021). Women's employment and fertility in East Africa: Evidence from Demographic and Health Surveys. Journal of Population Research, 38(3), 261–284. https://doi.org/10.1007/s12546-021-09261-0</w:t>
      </w:r>
    </w:p>
    <w:p w14:paraId="325847AE" w14:textId="77777777" w:rsidR="007D6BF4" w:rsidRDefault="00000000">
      <w:pPr>
        <w:spacing w:after="160"/>
        <w:ind w:left="720" w:hanging="720"/>
        <w:jc w:val="both"/>
      </w:pPr>
      <w:proofErr w:type="spellStart"/>
      <w:r>
        <w:rPr>
          <w:sz w:val="22"/>
          <w:szCs w:val="22"/>
        </w:rPr>
        <w:t>Munyemana</w:t>
      </w:r>
      <w:proofErr w:type="spellEnd"/>
      <w:r>
        <w:rPr>
          <w:sz w:val="22"/>
          <w:szCs w:val="22"/>
        </w:rPr>
        <w:t xml:space="preserve">, A., &amp; </w:t>
      </w:r>
      <w:proofErr w:type="spellStart"/>
      <w:r>
        <w:rPr>
          <w:sz w:val="22"/>
          <w:szCs w:val="22"/>
        </w:rPr>
        <w:t>Habimana</w:t>
      </w:r>
      <w:proofErr w:type="spellEnd"/>
      <w:r>
        <w:rPr>
          <w:sz w:val="22"/>
          <w:szCs w:val="22"/>
        </w:rPr>
        <w:t>, O. (2020). Determinants of household poverty in Rwanda: Evidence from EICV4. Rwandan Journal of Economics, 4(1), 45–62.</w:t>
      </w:r>
    </w:p>
    <w:p w14:paraId="7FC29EB8" w14:textId="77777777" w:rsidR="007D6BF4" w:rsidRDefault="00000000">
      <w:pPr>
        <w:spacing w:after="160"/>
        <w:ind w:left="720" w:hanging="720"/>
        <w:jc w:val="both"/>
      </w:pPr>
      <w:r>
        <w:rPr>
          <w:sz w:val="22"/>
          <w:szCs w:val="22"/>
        </w:rPr>
        <w:t>National Institute of Statistics of Rwanda (NISR). (2018). Rwanda Poverty Profile Report, 2016/17: Results of the fifth integrated household living conditions survey. NISR.</w:t>
      </w:r>
    </w:p>
    <w:p w14:paraId="6850081B" w14:textId="77777777" w:rsidR="007D6BF4" w:rsidRDefault="00000000">
      <w:pPr>
        <w:spacing w:after="160"/>
        <w:ind w:left="720" w:hanging="720"/>
        <w:jc w:val="both"/>
      </w:pPr>
      <w:r>
        <w:rPr>
          <w:sz w:val="22"/>
          <w:szCs w:val="22"/>
        </w:rPr>
        <w:t>National Institute of Statistics of Rwanda (NISR), Ministry of Health (MOH), &amp; ICF. (2021). Rwanda Demographic and Health Survey 2019–20. NISR, MOH, and ICF.</w:t>
      </w:r>
    </w:p>
    <w:p w14:paraId="6153D909" w14:textId="77777777" w:rsidR="007D6BF4" w:rsidRDefault="00000000">
      <w:pPr>
        <w:spacing w:after="160"/>
        <w:ind w:left="720" w:hanging="720"/>
        <w:jc w:val="both"/>
      </w:pPr>
      <w:r>
        <w:rPr>
          <w:sz w:val="22"/>
          <w:szCs w:val="22"/>
        </w:rPr>
        <w:t xml:space="preserve">Nkurunziza, S., </w:t>
      </w:r>
      <w:proofErr w:type="spellStart"/>
      <w:r>
        <w:rPr>
          <w:sz w:val="22"/>
          <w:szCs w:val="22"/>
        </w:rPr>
        <w:t>Ndayambaje</w:t>
      </w:r>
      <w:proofErr w:type="spellEnd"/>
      <w:r>
        <w:rPr>
          <w:sz w:val="22"/>
          <w:szCs w:val="22"/>
        </w:rPr>
        <w:t xml:space="preserve">, A., </w:t>
      </w:r>
      <w:proofErr w:type="spellStart"/>
      <w:r>
        <w:rPr>
          <w:sz w:val="22"/>
          <w:szCs w:val="22"/>
        </w:rPr>
        <w:t>Ntawuyirushintege</w:t>
      </w:r>
      <w:proofErr w:type="spellEnd"/>
      <w:r>
        <w:rPr>
          <w:sz w:val="22"/>
          <w:szCs w:val="22"/>
        </w:rPr>
        <w:t xml:space="preserve">, S., </w:t>
      </w:r>
      <w:proofErr w:type="spellStart"/>
      <w:r>
        <w:rPr>
          <w:sz w:val="22"/>
          <w:szCs w:val="22"/>
        </w:rPr>
        <w:t>Biracyaza</w:t>
      </w:r>
      <w:proofErr w:type="spellEnd"/>
      <w:r>
        <w:rPr>
          <w:sz w:val="22"/>
          <w:szCs w:val="22"/>
        </w:rPr>
        <w:t xml:space="preserve">, E., &amp; </w:t>
      </w:r>
      <w:proofErr w:type="spellStart"/>
      <w:r>
        <w:rPr>
          <w:sz w:val="22"/>
          <w:szCs w:val="22"/>
        </w:rPr>
        <w:t>Chukwuorji</w:t>
      </w:r>
      <w:proofErr w:type="spellEnd"/>
      <w:r>
        <w:rPr>
          <w:sz w:val="22"/>
          <w:szCs w:val="22"/>
        </w:rPr>
        <w:t>, J. C. (2019). Predictors of fertility rate of Rwandan women of reproductive age: Secondary analysis of 2015 Rwanda Demographic and Health Survey. BioMed Research International, 2019, 5482136. https://doi.org/10.1155/2019/5482136</w:t>
      </w:r>
    </w:p>
    <w:p w14:paraId="68BA1751" w14:textId="77777777" w:rsidR="007D6BF4" w:rsidRDefault="00000000">
      <w:pPr>
        <w:spacing w:after="160"/>
        <w:ind w:left="720" w:hanging="720"/>
        <w:jc w:val="both"/>
      </w:pPr>
      <w:r>
        <w:rPr>
          <w:sz w:val="22"/>
          <w:szCs w:val="22"/>
        </w:rPr>
        <w:lastRenderedPageBreak/>
        <w:t>Schultz, T. W. (1961). Investment in human capital. The American Economic Review, 51(1), 1–17.</w:t>
      </w:r>
    </w:p>
    <w:p w14:paraId="461D7197" w14:textId="77777777" w:rsidR="007D6BF4" w:rsidRDefault="00000000">
      <w:pPr>
        <w:spacing w:after="160"/>
        <w:ind w:left="720" w:hanging="720"/>
        <w:jc w:val="both"/>
      </w:pPr>
      <w:r>
        <w:rPr>
          <w:sz w:val="22"/>
          <w:szCs w:val="22"/>
        </w:rPr>
        <w:t>Sen, A. (1999). Development as freedom. Oxford University Press.</w:t>
      </w:r>
    </w:p>
    <w:p w14:paraId="729B8EA9" w14:textId="77777777" w:rsidR="007D6BF4" w:rsidRDefault="00000000">
      <w:pPr>
        <w:spacing w:after="160"/>
        <w:ind w:left="720" w:hanging="720"/>
        <w:jc w:val="both"/>
      </w:pPr>
      <w:r>
        <w:rPr>
          <w:sz w:val="22"/>
          <w:szCs w:val="22"/>
        </w:rPr>
        <w:t xml:space="preserve">UNDP. (2022). Human Development Report 2021/2022: Uncertain times, unsettled lives. United Nations Development </w:t>
      </w:r>
      <w:proofErr w:type="spellStart"/>
      <w:r>
        <w:rPr>
          <w:sz w:val="22"/>
          <w:szCs w:val="22"/>
        </w:rPr>
        <w:t>Programme</w:t>
      </w:r>
      <w:proofErr w:type="spellEnd"/>
      <w:r>
        <w:rPr>
          <w:sz w:val="22"/>
          <w:szCs w:val="22"/>
        </w:rPr>
        <w:t>.</w:t>
      </w:r>
    </w:p>
    <w:p w14:paraId="54BCDD4F" w14:textId="77777777" w:rsidR="007D6BF4" w:rsidRDefault="00000000">
      <w:pPr>
        <w:spacing w:after="160"/>
        <w:ind w:left="720" w:hanging="720"/>
        <w:jc w:val="both"/>
      </w:pPr>
      <w:r>
        <w:rPr>
          <w:sz w:val="22"/>
          <w:szCs w:val="22"/>
        </w:rPr>
        <w:t>Weber, M. (1922). Economy and society: An outline of interpretive sociology. Bedminster Press.</w:t>
      </w:r>
    </w:p>
    <w:p w14:paraId="6C82F989" w14:textId="77777777" w:rsidR="007D6BF4" w:rsidRDefault="00000000">
      <w:pPr>
        <w:spacing w:after="160"/>
        <w:ind w:left="720" w:hanging="720"/>
        <w:jc w:val="both"/>
      </w:pPr>
      <w:r>
        <w:rPr>
          <w:sz w:val="22"/>
          <w:szCs w:val="22"/>
        </w:rPr>
        <w:t>World Bank. (2023). World Development Indicators: Rwanda country data. Retrieved from https://databank.worldbank.org/source/world-development-indicators</w:t>
      </w:r>
    </w:p>
    <w:sectPr w:rsidR="007D6BF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1A654" w14:textId="77777777" w:rsidR="00A10A65" w:rsidRDefault="00A10A65">
      <w:r>
        <w:separator/>
      </w:r>
    </w:p>
  </w:endnote>
  <w:endnote w:type="continuationSeparator" w:id="0">
    <w:p w14:paraId="717CA331" w14:textId="77777777" w:rsidR="00A10A65" w:rsidRDefault="00A10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0B0FB" w14:textId="77777777" w:rsidR="007D6BF4" w:rsidRDefault="00000000">
    <w:pPr>
      <w:pBdr>
        <w:top w:val="single" w:sz="4" w:space="1" w:color="CCCCCC"/>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5738DF">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49783" w14:textId="77777777" w:rsidR="00A10A65" w:rsidRDefault="00A10A65">
      <w:r>
        <w:separator/>
      </w:r>
    </w:p>
  </w:footnote>
  <w:footnote w:type="continuationSeparator" w:id="0">
    <w:p w14:paraId="203D307A" w14:textId="77777777" w:rsidR="00A10A65" w:rsidRDefault="00A10A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9275D"/>
    <w:multiLevelType w:val="hybridMultilevel"/>
    <w:tmpl w:val="CB32CA5A"/>
    <w:lvl w:ilvl="0" w:tplc="5A88962A">
      <w:start w:val="1"/>
      <w:numFmt w:val="bullet"/>
      <w:lvlText w:val="●"/>
      <w:lvlJc w:val="left"/>
      <w:pPr>
        <w:ind w:left="720" w:hanging="360"/>
      </w:pPr>
    </w:lvl>
    <w:lvl w:ilvl="1" w:tplc="6B1468A4">
      <w:start w:val="1"/>
      <w:numFmt w:val="bullet"/>
      <w:lvlText w:val="○"/>
      <w:lvlJc w:val="left"/>
      <w:pPr>
        <w:ind w:left="1440" w:hanging="360"/>
      </w:pPr>
    </w:lvl>
    <w:lvl w:ilvl="2" w:tplc="ED3E0276">
      <w:start w:val="1"/>
      <w:numFmt w:val="bullet"/>
      <w:lvlText w:val="■"/>
      <w:lvlJc w:val="left"/>
      <w:pPr>
        <w:ind w:left="2160" w:hanging="360"/>
      </w:pPr>
    </w:lvl>
    <w:lvl w:ilvl="3" w:tplc="DF5C4832">
      <w:start w:val="1"/>
      <w:numFmt w:val="bullet"/>
      <w:lvlText w:val="●"/>
      <w:lvlJc w:val="left"/>
      <w:pPr>
        <w:ind w:left="2880" w:hanging="360"/>
      </w:pPr>
    </w:lvl>
    <w:lvl w:ilvl="4" w:tplc="FA589298">
      <w:start w:val="1"/>
      <w:numFmt w:val="bullet"/>
      <w:lvlText w:val="○"/>
      <w:lvlJc w:val="left"/>
      <w:pPr>
        <w:ind w:left="3600" w:hanging="360"/>
      </w:pPr>
    </w:lvl>
    <w:lvl w:ilvl="5" w:tplc="539C03EE">
      <w:start w:val="1"/>
      <w:numFmt w:val="bullet"/>
      <w:lvlText w:val="■"/>
      <w:lvlJc w:val="left"/>
      <w:pPr>
        <w:ind w:left="4320" w:hanging="360"/>
      </w:pPr>
    </w:lvl>
    <w:lvl w:ilvl="6" w:tplc="2C867576">
      <w:start w:val="1"/>
      <w:numFmt w:val="bullet"/>
      <w:lvlText w:val="●"/>
      <w:lvlJc w:val="left"/>
      <w:pPr>
        <w:ind w:left="5040" w:hanging="360"/>
      </w:pPr>
    </w:lvl>
    <w:lvl w:ilvl="7" w:tplc="A29CB52A">
      <w:start w:val="1"/>
      <w:numFmt w:val="bullet"/>
      <w:lvlText w:val="●"/>
      <w:lvlJc w:val="left"/>
      <w:pPr>
        <w:ind w:left="5760" w:hanging="360"/>
      </w:pPr>
    </w:lvl>
    <w:lvl w:ilvl="8" w:tplc="90E4E92C">
      <w:start w:val="1"/>
      <w:numFmt w:val="bullet"/>
      <w:lvlText w:val="●"/>
      <w:lvlJc w:val="left"/>
      <w:pPr>
        <w:ind w:left="6480" w:hanging="360"/>
      </w:pPr>
    </w:lvl>
  </w:abstractNum>
  <w:abstractNum w:abstractNumId="1" w15:restartNumberingAfterBreak="0">
    <w:nsid w:val="69E55319"/>
    <w:multiLevelType w:val="hybridMultilevel"/>
    <w:tmpl w:val="569E5DBE"/>
    <w:lvl w:ilvl="0" w:tplc="999698D8">
      <w:start w:val="1"/>
      <w:numFmt w:val="bullet"/>
      <w:lvlText w:val="•"/>
      <w:lvlJc w:val="left"/>
      <w:pPr>
        <w:ind w:left="720" w:hanging="360"/>
      </w:pPr>
    </w:lvl>
    <w:lvl w:ilvl="1" w:tplc="0A1C1594">
      <w:numFmt w:val="decimal"/>
      <w:lvlText w:val=""/>
      <w:lvlJc w:val="left"/>
    </w:lvl>
    <w:lvl w:ilvl="2" w:tplc="4D3E940C">
      <w:numFmt w:val="decimal"/>
      <w:lvlText w:val=""/>
      <w:lvlJc w:val="left"/>
    </w:lvl>
    <w:lvl w:ilvl="3" w:tplc="31B2D6D6">
      <w:numFmt w:val="decimal"/>
      <w:lvlText w:val=""/>
      <w:lvlJc w:val="left"/>
    </w:lvl>
    <w:lvl w:ilvl="4" w:tplc="76C845E2">
      <w:numFmt w:val="decimal"/>
      <w:lvlText w:val=""/>
      <w:lvlJc w:val="left"/>
    </w:lvl>
    <w:lvl w:ilvl="5" w:tplc="65A015D8">
      <w:numFmt w:val="decimal"/>
      <w:lvlText w:val=""/>
      <w:lvlJc w:val="left"/>
    </w:lvl>
    <w:lvl w:ilvl="6" w:tplc="5BAE9F6E">
      <w:numFmt w:val="decimal"/>
      <w:lvlText w:val=""/>
      <w:lvlJc w:val="left"/>
    </w:lvl>
    <w:lvl w:ilvl="7" w:tplc="C074D93C">
      <w:numFmt w:val="decimal"/>
      <w:lvlText w:val=""/>
      <w:lvlJc w:val="left"/>
    </w:lvl>
    <w:lvl w:ilvl="8" w:tplc="542CB2CE">
      <w:numFmt w:val="decimal"/>
      <w:lvlText w:val=""/>
      <w:lvlJc w:val="left"/>
    </w:lvl>
  </w:abstractNum>
  <w:num w:numId="1" w16cid:durableId="1461419021">
    <w:abstractNumId w:val="0"/>
    <w:lvlOverride w:ilvl="0">
      <w:startOverride w:val="1"/>
    </w:lvlOverride>
  </w:num>
  <w:num w:numId="2" w16cid:durableId="4786902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BF4"/>
    <w:rsid w:val="00071E02"/>
    <w:rsid w:val="003D27DA"/>
    <w:rsid w:val="004B42B3"/>
    <w:rsid w:val="005738DF"/>
    <w:rsid w:val="0062378C"/>
    <w:rsid w:val="007D6BF4"/>
    <w:rsid w:val="009A4583"/>
    <w:rsid w:val="00A10A65"/>
    <w:rsid w:val="00A43314"/>
    <w:rsid w:val="00B87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4D402"/>
  <w15:docId w15:val="{1A6C7DEE-6D57-4E1C-85BE-D2361543D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000000"/>
      <w:sz w:val="28"/>
      <w:szCs w:val="28"/>
    </w:rPr>
  </w:style>
  <w:style w:type="paragraph" w:styleId="Heading2">
    <w:name w:val="heading 2"/>
    <w:uiPriority w:val="9"/>
    <w:unhideWhenUsed/>
    <w:qFormat/>
    <w:pPr>
      <w:spacing w:before="320" w:after="160"/>
      <w:outlineLvl w:val="1"/>
    </w:pPr>
    <w:rPr>
      <w:b/>
      <w:bCs/>
      <w:color w:val="000000"/>
    </w:rPr>
  </w:style>
  <w:style w:type="paragraph" w:styleId="Heading3">
    <w:name w:val="heading 3"/>
    <w:uiPriority w:val="9"/>
    <w:unhideWhenUsed/>
    <w:qFormat/>
    <w:pPr>
      <w:spacing w:before="240" w:after="120"/>
      <w:outlineLvl w:val="2"/>
    </w:pPr>
    <w:rPr>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38DF"/>
    <w:pPr>
      <w:tabs>
        <w:tab w:val="center" w:pos="4680"/>
        <w:tab w:val="right" w:pos="9360"/>
      </w:tabs>
    </w:pPr>
  </w:style>
  <w:style w:type="character" w:customStyle="1" w:styleId="HeaderChar">
    <w:name w:val="Header Char"/>
    <w:basedOn w:val="DefaultParagraphFont"/>
    <w:link w:val="Header"/>
    <w:uiPriority w:val="99"/>
    <w:rsid w:val="005738DF"/>
  </w:style>
  <w:style w:type="paragraph" w:styleId="Footer">
    <w:name w:val="footer"/>
    <w:basedOn w:val="Normal"/>
    <w:link w:val="FooterChar"/>
    <w:uiPriority w:val="99"/>
    <w:unhideWhenUsed/>
    <w:rsid w:val="005738DF"/>
    <w:pPr>
      <w:tabs>
        <w:tab w:val="center" w:pos="4680"/>
        <w:tab w:val="right" w:pos="9360"/>
      </w:tabs>
    </w:pPr>
  </w:style>
  <w:style w:type="character" w:customStyle="1" w:styleId="FooterChar">
    <w:name w:val="Footer Char"/>
    <w:basedOn w:val="DefaultParagraphFont"/>
    <w:link w:val="Footer"/>
    <w:uiPriority w:val="99"/>
    <w:rsid w:val="005738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5852</Words>
  <Characters>33360</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niyonsaba fabrice</cp:lastModifiedBy>
  <cp:revision>2</cp:revision>
  <dcterms:created xsi:type="dcterms:W3CDTF">2026-06-05T10:22:00Z</dcterms:created>
  <dcterms:modified xsi:type="dcterms:W3CDTF">2026-06-05T10:22:00Z</dcterms:modified>
</cp:coreProperties>
</file>