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30"/>
          <w:szCs w:val="30"/>
          <w:color w:val="000000"/>
        </w:rPr>
        <w:t xml:space="preserve">Cover letter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To.</w:t>
      </w:r>
      <w:r>
        <w:rPr>
          <w:rFonts w:ascii="Times New Roman" w:hAnsi="Times New Roman" w:eastAsia="Times New Roman" w:cs="Times New Roman"/>
          <w:i w:val="false"/>
          <w:b w:val="false"/>
          <w:u w:val="none"/>
          <w:strike w:val="false"/>
          <w:sz w:val="24"/>
          <w:szCs w:val="24"/>
          <w:color w:val="000000"/>
        </w:rPr>
        <w:t xml:space="preserve"> The Editors, </w:t>
      </w:r>
      <w:r>
        <w:rPr>
          <w:rFonts w:ascii="Times New Roman" w:hAnsi="Times New Roman" w:eastAsia="Times New Roman" w:cs="Times New Roman"/>
          <w:i w:val="true"/>
          <w:b w:val="false"/>
          <w:u w:val="none"/>
          <w:strike w:val="false"/>
          <w:sz w:val="24"/>
          <w:szCs w:val="24"/>
          <w:color w:val="000000"/>
        </w:rPr>
        <w:t xml:space="preserve">Journal of Critical Care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w:t>
      </w:r>
      <w:r>
        <w:rPr>
          <w:rFonts w:ascii="Times New Roman" w:hAnsi="Times New Roman" w:eastAsia="Times New Roman" w:cs="Times New Roman"/>
          <w:i w:val="false"/>
          <w:b w:val="false"/>
          <w:u w:val="none"/>
          <w:strike w:val="false"/>
          <w:sz w:val="24"/>
          <w:szCs w:val="24"/>
          <w:color w:val="000000"/>
        </w:rPr>
        <w:t xml:space="preserve"> Early uptake of guideline-recommended pain, agitation, and delirium assessment in 208 US intensive care units: an all-or-none pattern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Dear Editors,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are submitting the enclosed manuscript for consideration as an Original Research article in the </w:t>
      </w:r>
      <w:r>
        <w:rPr>
          <w:rFonts w:ascii="Times New Roman" w:hAnsi="Times New Roman" w:eastAsia="Times New Roman" w:cs="Times New Roman"/>
          <w:i w:val="true"/>
          <w:b w:val="false"/>
          <w:u w:val="none"/>
          <w:strike w:val="false"/>
          <w:sz w:val="24"/>
          <w:szCs w:val="24"/>
          <w:color w:val="000000"/>
        </w:rPr>
        <w:t xml:space="preserve">Journal of Critical Care</w:t>
      </w:r>
      <w:r>
        <w:rPr>
          <w:rFonts w:ascii="Times New Roman" w:hAnsi="Times New Roman" w:eastAsia="Times New Roman" w:cs="Times New Roman"/>
          <w:i w:val="false"/>
          <w:b w:val="false"/>
          <w:u w:val="none"/>
          <w:strike w:val="false"/>
          <w:sz w:val="24"/>
          <w:szCs w:val="24"/>
          <w:color w:val="000000"/>
        </w:rPr>
        <w:t xml:space="preserv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2013 clinical practice guideline of the American College of Critical Care Medicine recommended routine monitoring of pain, agitation, and delirium with validated instruments. What happened next in ordinary intensive care units has not been described. The available evidence comes from clinician surveys, from single-center implementation projects, and from voluntary quality collaboratives whose participating units had already decided to change. None of these designs can answer the question of baseline uptake among hospitals that volunteered for nothing.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Using 110,257 first ICU admissions across 208 US hospitals in the eICU Collaborative Research Database, which covers 2014 and 2015 and therefore captures the one-to-two-year window immediately following the guideline, we report three findings. Documented delirium assessment with a validated instrument approximately doubled, from 11.2% of stays to 21.3%. That aggregate increase, however, did not come from the field moving together: of 173 hospitals contributing in both years, 123 did not change at all, and 12 of the 14 hospitals that became adopters had documented no assessment of any kind the year before. And assessment behaved as an all-or-none institutional property rather than a gradient of quality, with an intraclass correlation of 0.936 that case-mix adjustment did not reduce, a structural non-adopter class comprising an estimated 71% of hospitals, and not one screened stay in 18,174 containing a single isolated assessment.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think the paper is a fit for this Journal for two reasons. It addresses implementation of a guideline the critical care community owns, at a scale no single-center study can reach. And it carries a methodological warning that generalizes: pooled national rates computed across institutions with this much between-hospital variance can invert the direction of a within-hospital association. Ventilated patients in our cohort appeared </w:t>
      </w:r>
      <w:r>
        <w:rPr>
          <w:rFonts w:ascii="Times New Roman" w:hAnsi="Times New Roman" w:eastAsia="Times New Roman" w:cs="Times New Roman"/>
          <w:i w:val="true"/>
          <w:b w:val="false"/>
          <w:u w:val="none"/>
          <w:strike w:val="false"/>
          <w:sz w:val="24"/>
          <w:szCs w:val="24"/>
          <w:color w:val="000000"/>
        </w:rPr>
        <w:t xml:space="preserve">less</w:t>
      </w:r>
      <w:r>
        <w:rPr>
          <w:rFonts w:ascii="Times New Roman" w:hAnsi="Times New Roman" w:eastAsia="Times New Roman" w:cs="Times New Roman"/>
          <w:i w:val="false"/>
          <w:b w:val="false"/>
          <w:u w:val="none"/>
          <w:strike w:val="false"/>
          <w:sz w:val="24"/>
          <w:szCs w:val="24"/>
          <w:color w:val="000000"/>
        </w:rPr>
        <w:t xml:space="preserve"> likely to be assessed when rates were pooled and </w:t>
      </w:r>
      <w:r>
        <w:rPr>
          <w:rFonts w:ascii="Times New Roman" w:hAnsi="Times New Roman" w:eastAsia="Times New Roman" w:cs="Times New Roman"/>
          <w:i w:val="true"/>
          <w:b w:val="false"/>
          <w:u w:val="none"/>
          <w:strike w:val="false"/>
          <w:sz w:val="24"/>
          <w:szCs w:val="24"/>
          <w:color w:val="000000"/>
        </w:rPr>
        <w:t xml:space="preserve">more</w:t>
      </w:r>
      <w:r>
        <w:rPr>
          <w:rFonts w:ascii="Times New Roman" w:hAnsi="Times New Roman" w:eastAsia="Times New Roman" w:cs="Times New Roman"/>
          <w:i w:val="false"/>
          <w:b w:val="false"/>
          <w:u w:val="none"/>
          <w:strike w:val="false"/>
          <w:sz w:val="24"/>
          <w:szCs w:val="24"/>
          <w:color w:val="000000"/>
        </w:rPr>
        <w:t xml:space="preserve"> likely once hospital was accounted for. Any national assessment rate reported without attention to clustering is vulnerable to the same reversal.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have been careful about what the data can support. This is a study of documentation, not of delirium; we offer no estimate of delirium incidence, because ascertainment depends on the screening behavior under study. The principal threat to validity is that absent documentation might reflect absent charting, and we address it with an internal comparison rather than an assertion: 45 hospitals, spread across 20 distinct identifier blocks, documented pain or sedation in at least three-quarters of stays and a validated delirium assessment in none. For the 86 hospitals that documented nothing at all we cannot make that distinction, and we say so. We also found that hospitals in this database are not independent, since identifiers partly encode the contributing health system, and we report block-bootstrap intervals accordingly rather than the narrower naive ones.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manuscript is original, is not under consideration elsewhere, and has not been published previously in any form. All authors have read and approved the submitted version and agree to its submission to this Journal.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No funding of any kind was received for this work. The authors declare no competing interests.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study analyzed only de-identified data from the eICU Collaborative Research Database, accessed under the PhysioNet Credentialed Health Data Use Agreement following completion of the required human subjects research training. No human participants were involved and no identifiable data were accessed. Institutional review board approval was not required.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Thank you for considering this work.</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Yours sincerely,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Fabrice T. Nyambod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International Health</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Johns Hopkins Bloomberg School of Public Health</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615 N. Wolfe St, Baltimore, MD 21205,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ntiku2@jh.edu</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ORCID 0009-0006-6592-2673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On behalf of all authors: Fabrice T. Nyambod, January G. Msemakweli, Aja Claris, Murishi Onesphore, Victor Okpanachi</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2026-08-21T10:31:30Z</dcterms:modified>
  <cp:category/>
</cp:coreProperties>
</file>