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30"/>
          <w:szCs w:val="30"/>
          <w:color w:val="000000"/>
        </w:rPr>
        <w:t xml:space="preserve">Highlights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36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4"/>
          <w:szCs w:val="24"/>
          <w:color w:val="000000"/>
        </w:rPr>
        <w:t xml:space="preserve">•  Documented delirium assessment nearly doubled in US ICUs from 2014 to 2015.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36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4"/>
          <w:szCs w:val="24"/>
          <w:color w:val="000000"/>
        </w:rPr>
        <w:t xml:space="preserve">•  The rise came from a few ICUs starting abruptly, not from gradual spread.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36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4"/>
          <w:szCs w:val="24"/>
          <w:color w:val="000000"/>
        </w:rPr>
        <w:t xml:space="preserve">•  123 of 173 ICUs did not change their delirium screening over the period.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36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4"/>
          <w:szCs w:val="24"/>
          <w:color w:val="000000"/>
        </w:rPr>
        <w:t xml:space="preserve">•  Which ICU a patient entered explained 94% of variation in being assessed.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36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4"/>
          <w:szCs w:val="24"/>
          <w:color w:val="000000"/>
        </w:rPr>
        <w:t xml:space="preserve">•  Ventilated patients seemed less screened until hospital was accounted for.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2026-08-21T10:31:30Z</dcterms:modified>
  <cp:category/>
</cp:coreProperties>
</file>