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0" w:before="0" w:line="36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30"/>
          <w:szCs w:val="30"/>
          <w:color w:val="000000"/>
        </w:rPr>
        <w:t xml:space="preserve">Highlights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360"/>
        <w:ind w:left="36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•  Documented delirium assessment nearly doubled in US ICUs from 2014 to 2015.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360"/>
        <w:ind w:left="36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•  The rise came from a few ICUs starting abruptly, not from gradual spread.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360"/>
        <w:ind w:left="36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•  123 of 173 ICUs did not change their delirium screening over the period.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360"/>
        <w:ind w:left="36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•  Which ICU a patient entered explained 94% of variation in being assessed.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360"/>
        <w:ind w:left="36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•  Ventilated patients seemed less screened until hospital was accounted for.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2026-08-21T10:25:59Z</dcterms:modified>
  <cp:category/>
</cp:coreProperties>
</file>