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0" w:before="0" w:line="36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30"/>
          <w:szCs w:val="30"/>
          <w:color w:val="000000"/>
        </w:rPr>
        <w:t xml:space="preserve">Highlights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360"/>
        <w:ind w:left="36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•  Documented delirium assessment nearly doubled in US ICUs from 2014 to 2015.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360"/>
        <w:ind w:left="36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•  The rise came from a few ICUs starting abruptly, not from gradual spread.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360"/>
        <w:ind w:left="36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•  123 of 173 ICUs did not change their delirium screening over the period.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360"/>
        <w:ind w:left="36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•  Which ICU a patient entered explained 94% of variation in being assessed.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360"/>
        <w:ind w:left="36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•  Ventilated patients seemed less screened until hospital was accounted for.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2026-08-21T11:56:27Z</dcterms:modified>
  <cp:category/>
</cp:coreProperties>
</file>