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200" w:before="0" w:line="360"/>
        <w:ind w:left="0" w:right="0" w:firstLine="0" w:firstLineChars="0"/>
      </w:pPr>
      <w:r>
        <w:rPr>
          <w:rFonts w:ascii="Times New Roman" w:hAnsi="Times New Roman" w:eastAsia="Times New Roman" w:cs="Times New Roman"/>
          <w:i w:val="false"/>
          <w:b w:val="true"/>
          <w:u w:val="none"/>
          <w:strike w:val="false"/>
          <w:sz w:val="30"/>
          <w:szCs w:val="30"/>
          <w:color w:val="000000"/>
        </w:rPr>
        <w:t xml:space="preserve">Title Page</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Title</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Early uptake of guideline-recommended pain, agitation, and delirium assessment in 208 US intensive care units: an all-or-none pattern</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Running head</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Early uptake of PAD assessment in US ICUs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Authors</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Fabrice T. Nyambod </w:t>
      </w:r>
      <w:r>
        <w:rPr>
          <w:rFonts w:ascii="Times New Roman" w:hAnsi="Times New Roman" w:eastAsia="Times New Roman" w:cs="Times New Roman"/>
          <w:i w:val="false"/>
          <w:b w:val="false"/>
          <w:u w:val="none"/>
          <w:strike w:val="false"/>
          <w:vertAlign w:val="superscript"/>
          <w:sz w:val="24"/>
          <w:szCs w:val="24"/>
          <w:color w:val="000000"/>
        </w:rPr>
        <w:t xml:space="preserve">1</w:t>
      </w:r>
      <w:r>
        <w:rPr>
          <w:rFonts w:ascii="Times New Roman" w:hAnsi="Times New Roman" w:eastAsia="Times New Roman" w:cs="Times New Roman"/>
          <w:i w:val="false"/>
          <w:b w:val="false"/>
          <w:u w:val="none"/>
          <w:strike w:val="false"/>
          <w:sz w:val="24"/>
          <w:szCs w:val="24"/>
          <w:color w:val="000000"/>
        </w:rPr>
        <w:t xml:space="preserve">, January G. Msemakweli </w:t>
      </w:r>
      <w:r>
        <w:rPr>
          <w:rFonts w:ascii="Times New Roman" w:hAnsi="Times New Roman" w:eastAsia="Times New Roman" w:cs="Times New Roman"/>
          <w:i w:val="false"/>
          <w:b w:val="false"/>
          <w:u w:val="none"/>
          <w:strike w:val="false"/>
          <w:vertAlign w:val="superscript"/>
          <w:sz w:val="24"/>
          <w:szCs w:val="24"/>
          <w:color w:val="000000"/>
        </w:rPr>
        <w:t xml:space="preserve">2</w:t>
      </w:r>
      <w:r>
        <w:rPr>
          <w:rFonts w:ascii="Times New Roman" w:hAnsi="Times New Roman" w:eastAsia="Times New Roman" w:cs="Times New Roman"/>
          <w:i w:val="false"/>
          <w:b w:val="false"/>
          <w:u w:val="none"/>
          <w:strike w:val="false"/>
          <w:sz w:val="24"/>
          <w:szCs w:val="24"/>
          <w:color w:val="000000"/>
        </w:rPr>
        <w:t xml:space="preserve">, Aja Claris </w:t>
      </w:r>
      <w:r>
        <w:rPr>
          <w:rFonts w:ascii="Times New Roman" w:hAnsi="Times New Roman" w:eastAsia="Times New Roman" w:cs="Times New Roman"/>
          <w:i w:val="false"/>
          <w:b w:val="false"/>
          <w:u w:val="none"/>
          <w:strike w:val="false"/>
          <w:vertAlign w:val="superscript"/>
          <w:sz w:val="24"/>
          <w:szCs w:val="24"/>
          <w:color w:val="000000"/>
        </w:rPr>
        <w:t xml:space="preserve">3</w:t>
      </w:r>
      <w:r>
        <w:rPr>
          <w:rFonts w:ascii="Times New Roman" w:hAnsi="Times New Roman" w:eastAsia="Times New Roman" w:cs="Times New Roman"/>
          <w:i w:val="false"/>
          <w:b w:val="false"/>
          <w:u w:val="none"/>
          <w:strike w:val="false"/>
          <w:sz w:val="24"/>
          <w:szCs w:val="24"/>
          <w:color w:val="000000"/>
        </w:rPr>
        <w:t xml:space="preserve">, Murishi Onesphore </w:t>
      </w:r>
      <w:r>
        <w:rPr>
          <w:rFonts w:ascii="Times New Roman" w:hAnsi="Times New Roman" w:eastAsia="Times New Roman" w:cs="Times New Roman"/>
          <w:i w:val="false"/>
          <w:b w:val="false"/>
          <w:u w:val="none"/>
          <w:strike w:val="false"/>
          <w:vertAlign w:val="superscript"/>
          <w:sz w:val="24"/>
          <w:szCs w:val="24"/>
          <w:color w:val="000000"/>
        </w:rPr>
        <w:t xml:space="preserve">4</w:t>
      </w:r>
      <w:r>
        <w:rPr>
          <w:rFonts w:ascii="Times New Roman" w:hAnsi="Times New Roman" w:eastAsia="Times New Roman" w:cs="Times New Roman"/>
          <w:i w:val="false"/>
          <w:b w:val="false"/>
          <w:u w:val="none"/>
          <w:strike w:val="false"/>
          <w:sz w:val="24"/>
          <w:szCs w:val="24"/>
          <w:color w:val="000000"/>
        </w:rPr>
        <w:t xml:space="preserve">, Victor Okpanachi </w:t>
      </w:r>
      <w:r>
        <w:rPr>
          <w:rFonts w:ascii="Times New Roman" w:hAnsi="Times New Roman" w:eastAsia="Times New Roman" w:cs="Times New Roman"/>
          <w:i w:val="false"/>
          <w:b w:val="false"/>
          <w:u w:val="none"/>
          <w:strike w:val="false"/>
          <w:vertAlign w:val="superscript"/>
          <w:sz w:val="24"/>
          <w:szCs w:val="24"/>
          <w:color w:val="000000"/>
        </w:rPr>
        <w:t xml:space="preserve">5</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Affiliations</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vertAlign w:val="superscript"/>
          <w:sz w:val="24"/>
          <w:szCs w:val="24"/>
          <w:color w:val="000000"/>
        </w:rPr>
        <w:t xml:space="preserve">1</w:t>
      </w:r>
      <w:r>
        <w:rPr>
          <w:rFonts w:ascii="Times New Roman" w:hAnsi="Times New Roman" w:eastAsia="Times New Roman" w:cs="Times New Roman"/>
          <w:i w:val="false"/>
          <w:b w:val="false"/>
          <w:u w:val="none"/>
          <w:strike w:val="false"/>
          <w:sz w:val="24"/>
          <w:szCs w:val="24"/>
          <w:color w:val="000000"/>
        </w:rPr>
        <w:t xml:space="preserve"> Department of International Health, Johns Hopkins Bloomberg School of Public Health, Baltimore, Maryland, USA.</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vertAlign w:val="superscript"/>
          <w:sz w:val="24"/>
          <w:szCs w:val="24"/>
          <w:color w:val="000000"/>
        </w:rPr>
        <w:t xml:space="preserve">2</w:t>
      </w:r>
      <w:r>
        <w:rPr>
          <w:rFonts w:ascii="Times New Roman" w:hAnsi="Times New Roman" w:eastAsia="Times New Roman" w:cs="Times New Roman"/>
          <w:i w:val="false"/>
          <w:b w:val="false"/>
          <w:u w:val="none"/>
          <w:strike w:val="false"/>
          <w:sz w:val="24"/>
          <w:szCs w:val="24"/>
          <w:color w:val="000000"/>
        </w:rPr>
        <w:t xml:space="preserve"> Department of Epidemiology, Johns Hopkins Bloomberg School of Public Health, Baltimore, Maryland, USA.</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vertAlign w:val="superscript"/>
          <w:sz w:val="24"/>
          <w:szCs w:val="24"/>
          <w:color w:val="000000"/>
        </w:rPr>
        <w:t xml:space="preserve">3</w:t>
      </w:r>
      <w:r>
        <w:rPr>
          <w:rFonts w:ascii="Times New Roman" w:hAnsi="Times New Roman" w:eastAsia="Times New Roman" w:cs="Times New Roman"/>
          <w:i w:val="false"/>
          <w:b w:val="false"/>
          <w:u w:val="none"/>
          <w:strike w:val="false"/>
          <w:sz w:val="24"/>
          <w:szCs w:val="24"/>
          <w:color w:val="000000"/>
        </w:rPr>
        <w:t xml:space="preserve"> School-wide MPH, Johns Hopkins Bloomberg School of Public Health, Baltimore, Maryland, USA.</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vertAlign w:val="superscript"/>
          <w:sz w:val="24"/>
          <w:szCs w:val="24"/>
          <w:color w:val="000000"/>
        </w:rPr>
        <w:t xml:space="preserve">4</w:t>
      </w:r>
      <w:r>
        <w:rPr>
          <w:rFonts w:ascii="Times New Roman" w:hAnsi="Times New Roman" w:eastAsia="Times New Roman" w:cs="Times New Roman"/>
          <w:i w:val="false"/>
          <w:b w:val="false"/>
          <w:u w:val="none"/>
          <w:strike w:val="false"/>
          <w:sz w:val="24"/>
          <w:szCs w:val="24"/>
          <w:color w:val="000000"/>
        </w:rPr>
        <w:t xml:space="preserve"> Independent Researcher.</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vertAlign w:val="superscript"/>
          <w:sz w:val="24"/>
          <w:szCs w:val="24"/>
          <w:color w:val="000000"/>
        </w:rPr>
        <w:t xml:space="preserve">5</w:t>
      </w:r>
      <w:r>
        <w:rPr>
          <w:rFonts w:ascii="Times New Roman" w:hAnsi="Times New Roman" w:eastAsia="Times New Roman" w:cs="Times New Roman"/>
          <w:i w:val="false"/>
          <w:b w:val="false"/>
          <w:u w:val="none"/>
          <w:strike w:val="false"/>
          <w:sz w:val="24"/>
          <w:szCs w:val="24"/>
          <w:color w:val="000000"/>
        </w:rPr>
        <w:t xml:space="preserve"> Department of Environmental Health Sciences, Mel and Enid Zuckerman College of Public Health, University of Arizona, Tucson, Arizona, USA.</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Corresponding author</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Fabrice T. Nyambod</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Department of International Health, Johns Hopkins Bloomberg School of Public Health</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615 N. Wolfe St, Baltimore, MD 21205, USA</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Email: ntiku2@jh.edu</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ORCID: 0009-0006-6592-2673</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Word count</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Abstract 248; main text 4,070 (Introduction through Conclusions)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Tables and figures</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3 tables, 3 figures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Keywords</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delirium; practice guidelines as topic; guideline adherence; intensive care units; health services research; quality of health care</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Authors' contributions</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FTN conceived the study, developed the methodology and analysis code, and wrote the original draft. JGM contributed to methodology, curated data, and validated results. AC contributed to methodology and reviewed and edited the manuscript. MO reviewed and edited the manuscript and contributed to formal analysis. VO contributed software and formal analysis and supervised the work. All authors read and approved the final manuscript.</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CRediT author statement</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Fabrice T. Nyambod:</w:t>
      </w:r>
      <w:r>
        <w:rPr>
          <w:rFonts w:ascii="Times New Roman" w:hAnsi="Times New Roman" w:eastAsia="Times New Roman" w:cs="Times New Roman"/>
          <w:i w:val="false"/>
          <w:b w:val="false"/>
          <w:u w:val="none"/>
          <w:strike w:val="false"/>
          <w:sz w:val="24"/>
          <w:szCs w:val="24"/>
          <w:color w:val="000000"/>
        </w:rPr>
        <w:t xml:space="preserve"> Conceptualization, Methodology, Software, Writing - original draft.</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January G. Msemakweli:</w:t>
      </w:r>
      <w:r>
        <w:rPr>
          <w:rFonts w:ascii="Times New Roman" w:hAnsi="Times New Roman" w:eastAsia="Times New Roman" w:cs="Times New Roman"/>
          <w:i w:val="false"/>
          <w:b w:val="false"/>
          <w:u w:val="none"/>
          <w:strike w:val="false"/>
          <w:sz w:val="24"/>
          <w:szCs w:val="24"/>
          <w:color w:val="000000"/>
        </w:rPr>
        <w:t xml:space="preserve"> Methodology, Data curation, Validation.</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Aja Claris:</w:t>
      </w:r>
      <w:r>
        <w:rPr>
          <w:rFonts w:ascii="Times New Roman" w:hAnsi="Times New Roman" w:eastAsia="Times New Roman" w:cs="Times New Roman"/>
          <w:i w:val="false"/>
          <w:b w:val="false"/>
          <w:u w:val="none"/>
          <w:strike w:val="false"/>
          <w:sz w:val="24"/>
          <w:szCs w:val="24"/>
          <w:color w:val="000000"/>
        </w:rPr>
        <w:t xml:space="preserve"> Methodology, Writing - review and editing.</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Murishi Onesphore:</w:t>
      </w:r>
      <w:r>
        <w:rPr>
          <w:rFonts w:ascii="Times New Roman" w:hAnsi="Times New Roman" w:eastAsia="Times New Roman" w:cs="Times New Roman"/>
          <w:i w:val="false"/>
          <w:b w:val="false"/>
          <w:u w:val="none"/>
          <w:strike w:val="false"/>
          <w:sz w:val="24"/>
          <w:szCs w:val="24"/>
          <w:color w:val="000000"/>
        </w:rPr>
        <w:t xml:space="preserve"> Formal analysis, Writing - review and editing.</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Victor Okpanachi:</w:t>
      </w:r>
      <w:r>
        <w:rPr>
          <w:rFonts w:ascii="Times New Roman" w:hAnsi="Times New Roman" w:eastAsia="Times New Roman" w:cs="Times New Roman"/>
          <w:i w:val="false"/>
          <w:b w:val="false"/>
          <w:u w:val="none"/>
          <w:strike w:val="false"/>
          <w:sz w:val="24"/>
          <w:szCs w:val="24"/>
          <w:color w:val="000000"/>
        </w:rPr>
        <w:t xml:space="preserve"> Software, Formal analysis, Supervision.</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Declaration of generative AI use</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During the preparation of this manuscript, the authors used Grammarly to assist with grammar checking, language editing, and reference formatting. All AI-assisted outputs were carefully reviewed, verified against primary sources where applicable, and edited by the authors, who take full responsibility for the content and integrity of the work. No AI tool is listed as an author.</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Declaration of competing interest</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authors declare that they have no known competing financial interests or personal relationships that could have appeared to influence the work reported in this paper.</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Funding</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This research did not receive any specific grant from funding agencies in the public, commercial, or not-for-profit sectors.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Ethics approval</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eICU Collaborative Research Database is deidentified and publicly available to credentialed users under a data use agreement. This secondary analysis was exempt from institutional review board review and the requirement for informed consent was waived.</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Data availability</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eICU Collaborative Research Database is available to credentialed users at https://eicu-crd.mit.edu. Analysis code is available from the corresponding author on reasonable request. Row-level patient data cannot be shared under the terms of the data use agreement.</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Acknowledgments</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[Optional — complete or delete.]</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2026-08-21T11:56:27Z</dcterms:modified>
  <cp:category/>
</cp:coreProperties>
</file>