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B067" w14:textId="77777777" w:rsidR="006920B6" w:rsidRDefault="00000000" w:rsidP="002608FD">
      <w:pPr>
        <w:pBdr>
          <w:top w:val="none" w:sz="0" w:space="0" w:color="000000"/>
          <w:left w:val="none" w:sz="0" w:space="0" w:color="000000"/>
          <w:bottom w:val="none" w:sz="0" w:space="0" w:color="000000"/>
          <w:right w:val="none" w:sz="0" w:space="0" w:color="000000"/>
        </w:pBdr>
        <w:spacing w:after="280" w:line="360" w:lineRule="auto"/>
        <w:jc w:val="center"/>
      </w:pPr>
      <w:r>
        <w:rPr>
          <w:rFonts w:ascii="Times New Roman" w:eastAsia="Times New Roman" w:hAnsi="Times New Roman" w:cs="Times New Roman"/>
          <w:b/>
          <w:color w:val="000000"/>
          <w:sz w:val="28"/>
          <w:szCs w:val="28"/>
        </w:rPr>
        <w:t>Treatment Limitation Documentation and Risk Adjusted Mortality Benchmarking in 190 US Intensive Care Units</w:t>
      </w:r>
    </w:p>
    <w:p w14:paraId="70381B95" w14:textId="77777777" w:rsidR="006920B6" w:rsidRDefault="00000000">
      <w:pPr>
        <w:pBdr>
          <w:top w:val="none" w:sz="0" w:space="0" w:color="000000"/>
          <w:left w:val="none" w:sz="0" w:space="0" w:color="000000"/>
          <w:bottom w:val="none" w:sz="0" w:space="0" w:color="000000"/>
          <w:right w:val="none" w:sz="0" w:space="0" w:color="000000"/>
        </w:pBdr>
        <w:spacing w:after="120" w:line="360" w:lineRule="auto"/>
      </w:pPr>
      <w:r>
        <w:rPr>
          <w:rFonts w:ascii="Times New Roman" w:eastAsia="Times New Roman" w:hAnsi="Times New Roman" w:cs="Times New Roman"/>
          <w:color w:val="000000"/>
        </w:rPr>
        <w:t>Fabrice T. Nyambod, MD, MPH</w:t>
      </w:r>
      <w:r>
        <w:rPr>
          <w:rFonts w:ascii="Times New Roman" w:eastAsia="Times New Roman" w:hAnsi="Times New Roman" w:cs="Times New Roman"/>
          <w:color w:val="000000"/>
          <w:vertAlign w:val="superscript"/>
        </w:rPr>
        <w:t>1</w:t>
      </w:r>
    </w:p>
    <w:p w14:paraId="33871DDD" w14:textId="77777777" w:rsidR="006920B6" w:rsidRDefault="00000000">
      <w:pPr>
        <w:pBdr>
          <w:top w:val="none" w:sz="0" w:space="0" w:color="000000"/>
          <w:left w:val="none" w:sz="0" w:space="0" w:color="000000"/>
          <w:bottom w:val="none" w:sz="0" w:space="0" w:color="000000"/>
          <w:right w:val="none" w:sz="0" w:space="0" w:color="000000"/>
        </w:pBdr>
        <w:spacing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Department of International Health, Johns Hopkins Bloomberg School of Public Health, Baltimore, Maryland, USA</w:t>
      </w:r>
    </w:p>
    <w:p w14:paraId="7CF63FE1" w14:textId="77777777" w:rsidR="00176135" w:rsidRDefault="00176135">
      <w:pPr>
        <w:pBdr>
          <w:top w:val="none" w:sz="0" w:space="0" w:color="000000"/>
          <w:left w:val="none" w:sz="0" w:space="0" w:color="000000"/>
          <w:bottom w:val="none" w:sz="0" w:space="0" w:color="000000"/>
          <w:right w:val="none" w:sz="0" w:space="0" w:color="000000"/>
        </w:pBdr>
        <w:spacing w:after="280" w:line="360" w:lineRule="auto"/>
        <w:rPr>
          <w:rFonts w:ascii="Times New Roman" w:eastAsia="Times New Roman" w:hAnsi="Times New Roman" w:cs="Times New Roman"/>
          <w:color w:val="000000"/>
        </w:rPr>
      </w:pPr>
    </w:p>
    <w:p w14:paraId="536D7579" w14:textId="77777777" w:rsidR="00176135" w:rsidRDefault="00176135">
      <w:pPr>
        <w:pBdr>
          <w:top w:val="none" w:sz="0" w:space="0" w:color="000000"/>
          <w:left w:val="none" w:sz="0" w:space="0" w:color="000000"/>
          <w:bottom w:val="none" w:sz="0" w:space="0" w:color="000000"/>
          <w:right w:val="none" w:sz="0" w:space="0" w:color="000000"/>
        </w:pBdr>
        <w:spacing w:after="280" w:line="360" w:lineRule="auto"/>
        <w:rPr>
          <w:rFonts w:ascii="Times New Roman" w:eastAsia="Times New Roman" w:hAnsi="Times New Roman" w:cs="Times New Roman"/>
          <w:color w:val="000000"/>
        </w:rPr>
      </w:pPr>
    </w:p>
    <w:p w14:paraId="29961491" w14:textId="77777777" w:rsidR="00176135" w:rsidRDefault="00176135">
      <w:pPr>
        <w:pBdr>
          <w:top w:val="none" w:sz="0" w:space="0" w:color="000000"/>
          <w:left w:val="none" w:sz="0" w:space="0" w:color="000000"/>
          <w:bottom w:val="none" w:sz="0" w:space="0" w:color="000000"/>
          <w:right w:val="none" w:sz="0" w:space="0" w:color="000000"/>
        </w:pBdr>
        <w:spacing w:after="280" w:line="360" w:lineRule="auto"/>
        <w:rPr>
          <w:rFonts w:ascii="Times New Roman" w:eastAsia="Times New Roman" w:hAnsi="Times New Roman" w:cs="Times New Roman"/>
          <w:color w:val="000000"/>
        </w:rPr>
      </w:pPr>
    </w:p>
    <w:p w14:paraId="780B7414" w14:textId="77777777" w:rsidR="00176135" w:rsidRDefault="00176135">
      <w:pPr>
        <w:pBdr>
          <w:top w:val="none" w:sz="0" w:space="0" w:color="000000"/>
          <w:left w:val="none" w:sz="0" w:space="0" w:color="000000"/>
          <w:bottom w:val="none" w:sz="0" w:space="0" w:color="000000"/>
          <w:right w:val="none" w:sz="0" w:space="0" w:color="000000"/>
        </w:pBdr>
        <w:spacing w:after="280" w:line="360" w:lineRule="auto"/>
      </w:pPr>
    </w:p>
    <w:p w14:paraId="045D1CE0" w14:textId="032962FE" w:rsidR="00273A29" w:rsidRDefault="00000000" w:rsidP="00273A29">
      <w:pPr>
        <w:pBdr>
          <w:top w:val="none" w:sz="0" w:space="0" w:color="000000"/>
          <w:left w:val="none" w:sz="0" w:space="0" w:color="000000"/>
          <w:bottom w:val="none" w:sz="0" w:space="0" w:color="000000"/>
          <w:right w:val="none" w:sz="0" w:space="0" w:color="000000"/>
        </w:pBd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Corresponding author.</w:t>
      </w:r>
    </w:p>
    <w:p w14:paraId="61918611" w14:textId="254287B6" w:rsidR="006920B6" w:rsidRPr="00273A29" w:rsidRDefault="00000000" w:rsidP="00273A29">
      <w:pPr>
        <w:pBdr>
          <w:top w:val="none" w:sz="0" w:space="0" w:color="000000"/>
          <w:left w:val="none" w:sz="0" w:space="0" w:color="000000"/>
          <w:bottom w:val="none" w:sz="0" w:space="0" w:color="000000"/>
          <w:right w:val="none" w:sz="0" w:space="0" w:color="000000"/>
        </w:pBdr>
        <w:spacing w:after="120" w:line="360" w:lineRule="auto"/>
        <w:jc w:val="center"/>
        <w:rPr>
          <w:rFonts w:ascii="Times New Roman" w:eastAsia="Times New Roman" w:hAnsi="Times New Roman" w:cs="Times New Roman"/>
          <w:b/>
          <w:color w:val="000000"/>
        </w:rPr>
      </w:pPr>
      <w:r>
        <w:rPr>
          <w:rFonts w:ascii="Times New Roman" w:eastAsia="Times New Roman" w:hAnsi="Times New Roman" w:cs="Times New Roman"/>
          <w:color w:val="000000"/>
        </w:rPr>
        <w:t>Fabrice T. Nyambod, Department of International Health, Johns Hopkins Bloomberg School of Public Health, Baltimore, Maryland, USA. Email tikufabrice@gmail.com</w:t>
      </w:r>
    </w:p>
    <w:p w14:paraId="26D131C3" w14:textId="33C3E67C" w:rsidR="006920B6" w:rsidRDefault="00000000" w:rsidP="00273A29">
      <w:pPr>
        <w:pBdr>
          <w:top w:val="none" w:sz="0" w:space="0" w:color="000000"/>
          <w:left w:val="none" w:sz="0" w:space="0" w:color="000000"/>
          <w:bottom w:val="none" w:sz="0" w:space="0" w:color="000000"/>
          <w:right w:val="none" w:sz="0" w:space="0" w:color="000000"/>
        </w:pBdr>
        <w:spacing w:after="280" w:line="360" w:lineRule="auto"/>
        <w:jc w:val="center"/>
      </w:pPr>
      <w:r>
        <w:rPr>
          <w:rFonts w:ascii="Times New Roman" w:eastAsia="Times New Roman" w:hAnsi="Times New Roman" w:cs="Times New Roman"/>
          <w:b/>
          <w:color w:val="000000"/>
        </w:rPr>
        <w:t xml:space="preserve">ORCID. </w:t>
      </w:r>
      <w:r w:rsidRPr="00176135">
        <w:rPr>
          <w:rFonts w:ascii="Times New Roman" w:eastAsia="Times New Roman" w:hAnsi="Times New Roman" w:cs="Times New Roman"/>
          <w:color w:val="000000"/>
        </w:rPr>
        <w:t>0009-0006</w:t>
      </w:r>
      <w:r w:rsidRPr="00176135">
        <w:rPr>
          <w:rFonts w:ascii="Times New Roman" w:eastAsia="Times New Roman" w:hAnsi="Times New Roman" w:cs="Times New Roman"/>
          <w:color w:val="000000"/>
        </w:rPr>
        <w:t>-</w:t>
      </w:r>
      <w:r w:rsidRPr="00176135">
        <w:rPr>
          <w:rFonts w:ascii="Times New Roman" w:eastAsia="Times New Roman" w:hAnsi="Times New Roman" w:cs="Times New Roman"/>
          <w:color w:val="000000"/>
        </w:rPr>
        <w:t>6592-2673</w:t>
      </w:r>
    </w:p>
    <w:p w14:paraId="11988246" w14:textId="77777777" w:rsidR="00176135" w:rsidRDefault="00176135">
      <w:pPr>
        <w:pBdr>
          <w:top w:val="none" w:sz="0" w:space="0" w:color="000000"/>
          <w:left w:val="none" w:sz="0" w:space="0" w:color="000000"/>
          <w:bottom w:val="none" w:sz="0" w:space="0" w:color="000000"/>
          <w:right w:val="none" w:sz="0" w:space="0" w:color="000000"/>
        </w:pBdr>
        <w:spacing w:after="40" w:line="360" w:lineRule="auto"/>
        <w:rPr>
          <w:rFonts w:ascii="Times New Roman" w:eastAsia="Times New Roman" w:hAnsi="Times New Roman" w:cs="Times New Roman"/>
          <w:b/>
          <w:color w:val="000000"/>
        </w:rPr>
      </w:pPr>
    </w:p>
    <w:p w14:paraId="4D0C1A14" w14:textId="77777777" w:rsidR="00176135" w:rsidRDefault="00176135">
      <w:pPr>
        <w:pBdr>
          <w:top w:val="none" w:sz="0" w:space="0" w:color="000000"/>
          <w:left w:val="none" w:sz="0" w:space="0" w:color="000000"/>
          <w:bottom w:val="none" w:sz="0" w:space="0" w:color="000000"/>
          <w:right w:val="none" w:sz="0" w:space="0" w:color="000000"/>
        </w:pBdr>
        <w:spacing w:after="40" w:line="360" w:lineRule="auto"/>
        <w:rPr>
          <w:rFonts w:ascii="Times New Roman" w:eastAsia="Times New Roman" w:hAnsi="Times New Roman" w:cs="Times New Roman"/>
          <w:b/>
          <w:color w:val="000000"/>
        </w:rPr>
      </w:pPr>
    </w:p>
    <w:p w14:paraId="426EDBC8" w14:textId="22CA7C37" w:rsidR="006920B6" w:rsidRDefault="00000000">
      <w:pPr>
        <w:pBdr>
          <w:top w:val="none" w:sz="0" w:space="0" w:color="000000"/>
          <w:left w:val="none" w:sz="0" w:space="0" w:color="000000"/>
          <w:bottom w:val="none" w:sz="0" w:space="0" w:color="000000"/>
          <w:right w:val="none" w:sz="0" w:space="0" w:color="000000"/>
        </w:pBdr>
        <w:spacing w:after="40" w:line="360" w:lineRule="auto"/>
      </w:pPr>
      <w:r>
        <w:rPr>
          <w:rFonts w:ascii="Times New Roman" w:eastAsia="Times New Roman" w:hAnsi="Times New Roman" w:cs="Times New Roman"/>
          <w:b/>
          <w:color w:val="000000"/>
        </w:rPr>
        <w:t xml:space="preserve">Running head. </w:t>
      </w:r>
      <w:r>
        <w:rPr>
          <w:rFonts w:ascii="Times New Roman" w:eastAsia="Times New Roman" w:hAnsi="Times New Roman" w:cs="Times New Roman"/>
          <w:color w:val="000000"/>
        </w:rPr>
        <w:t>Treatment limitation and ICU benchmarking</w:t>
      </w:r>
    </w:p>
    <w:p w14:paraId="31F26E9C" w14:textId="77777777" w:rsidR="006920B6" w:rsidRDefault="00000000">
      <w:pPr>
        <w:pBdr>
          <w:top w:val="none" w:sz="0" w:space="0" w:color="000000"/>
          <w:left w:val="none" w:sz="0" w:space="0" w:color="000000"/>
          <w:bottom w:val="none" w:sz="0" w:space="0" w:color="000000"/>
          <w:right w:val="none" w:sz="0" w:space="0" w:color="000000"/>
        </w:pBdr>
        <w:spacing w:after="40" w:line="360" w:lineRule="auto"/>
      </w:pPr>
      <w:r>
        <w:rPr>
          <w:rFonts w:ascii="Times New Roman" w:eastAsia="Times New Roman" w:hAnsi="Times New Roman" w:cs="Times New Roman"/>
          <w:b/>
          <w:color w:val="000000"/>
        </w:rPr>
        <w:t xml:space="preserve">Word count, body. </w:t>
      </w:r>
      <w:r>
        <w:rPr>
          <w:rFonts w:ascii="Times New Roman" w:eastAsia="Times New Roman" w:hAnsi="Times New Roman" w:cs="Times New Roman"/>
          <w:color w:val="000000"/>
        </w:rPr>
        <w:t>2704</w:t>
      </w:r>
    </w:p>
    <w:p w14:paraId="3C8A202D" w14:textId="77777777" w:rsidR="006920B6" w:rsidRDefault="00000000">
      <w:pPr>
        <w:pBdr>
          <w:top w:val="none" w:sz="0" w:space="0" w:color="000000"/>
          <w:left w:val="none" w:sz="0" w:space="0" w:color="000000"/>
          <w:bottom w:val="none" w:sz="0" w:space="0" w:color="000000"/>
          <w:right w:val="none" w:sz="0" w:space="0" w:color="000000"/>
        </w:pBdr>
        <w:spacing w:after="40" w:line="360" w:lineRule="auto"/>
      </w:pPr>
      <w:r>
        <w:rPr>
          <w:rFonts w:ascii="Times New Roman" w:eastAsia="Times New Roman" w:hAnsi="Times New Roman" w:cs="Times New Roman"/>
          <w:b/>
          <w:color w:val="000000"/>
        </w:rPr>
        <w:t xml:space="preserve">Tables. </w:t>
      </w:r>
      <w:r>
        <w:rPr>
          <w:rFonts w:ascii="Times New Roman" w:eastAsia="Times New Roman" w:hAnsi="Times New Roman" w:cs="Times New Roman"/>
          <w:color w:val="000000"/>
        </w:rPr>
        <w:t>3</w:t>
      </w:r>
    </w:p>
    <w:p w14:paraId="1A013F75" w14:textId="77777777" w:rsidR="006920B6" w:rsidRDefault="00000000">
      <w:pPr>
        <w:pBdr>
          <w:top w:val="none" w:sz="0" w:space="0" w:color="000000"/>
          <w:left w:val="none" w:sz="0" w:space="0" w:color="000000"/>
          <w:bottom w:val="none" w:sz="0" w:space="0" w:color="000000"/>
          <w:right w:val="none" w:sz="0" w:space="0" w:color="000000"/>
        </w:pBdr>
        <w:spacing w:after="40" w:line="360" w:lineRule="auto"/>
      </w:pPr>
      <w:r>
        <w:rPr>
          <w:rFonts w:ascii="Times New Roman" w:eastAsia="Times New Roman" w:hAnsi="Times New Roman" w:cs="Times New Roman"/>
          <w:b/>
          <w:color w:val="000000"/>
        </w:rPr>
        <w:t xml:space="preserve">Figures. </w:t>
      </w:r>
      <w:r>
        <w:rPr>
          <w:rFonts w:ascii="Times New Roman" w:eastAsia="Times New Roman" w:hAnsi="Times New Roman" w:cs="Times New Roman"/>
          <w:color w:val="000000"/>
        </w:rPr>
        <w:t>3</w:t>
      </w:r>
    </w:p>
    <w:p w14:paraId="3CEC2E91" w14:textId="77777777" w:rsidR="006920B6" w:rsidRDefault="00000000">
      <w:pPr>
        <w:pBdr>
          <w:top w:val="none" w:sz="0" w:space="0" w:color="000000"/>
          <w:left w:val="none" w:sz="0" w:space="0" w:color="000000"/>
          <w:bottom w:val="none" w:sz="0" w:space="0" w:color="000000"/>
          <w:right w:val="none" w:sz="0" w:space="0" w:color="000000"/>
        </w:pBdr>
        <w:spacing w:after="40" w:line="360" w:lineRule="auto"/>
      </w:pPr>
      <w:r>
        <w:rPr>
          <w:rFonts w:ascii="Times New Roman" w:eastAsia="Times New Roman" w:hAnsi="Times New Roman" w:cs="Times New Roman"/>
          <w:b/>
          <w:color w:val="000000"/>
        </w:rPr>
        <w:t xml:space="preserve">Keywords. </w:t>
      </w:r>
      <w:r>
        <w:rPr>
          <w:rFonts w:ascii="Times New Roman" w:eastAsia="Times New Roman" w:hAnsi="Times New Roman" w:cs="Times New Roman"/>
          <w:color w:val="000000"/>
        </w:rPr>
        <w:t>intensive care, benchmarking, standardized mortality ratio, treatment limitation, code status, risk adjustment</w:t>
      </w:r>
    </w:p>
    <w:p w14:paraId="4BC339F5" w14:textId="77777777" w:rsidR="006920B6" w:rsidRDefault="00000000">
      <w:r>
        <w:br w:type="page"/>
      </w:r>
    </w:p>
    <w:p w14:paraId="1B933835" w14:textId="77777777" w:rsidR="006920B6" w:rsidRDefault="00000000" w:rsidP="00176135">
      <w:pPr>
        <w:pBdr>
          <w:top w:val="none" w:sz="0" w:space="0" w:color="000000"/>
          <w:left w:val="none" w:sz="0" w:space="0" w:color="000000"/>
          <w:bottom w:val="none" w:sz="0" w:space="0" w:color="000000"/>
          <w:right w:val="none" w:sz="0" w:space="0" w:color="000000"/>
        </w:pBdr>
        <w:spacing w:before="280" w:line="360" w:lineRule="auto"/>
      </w:pPr>
      <w:r>
        <w:rPr>
          <w:rFonts w:ascii="Times New Roman" w:eastAsia="Times New Roman" w:hAnsi="Times New Roman" w:cs="Times New Roman"/>
          <w:b/>
          <w:color w:val="000000"/>
          <w:sz w:val="26"/>
          <w:szCs w:val="26"/>
        </w:rPr>
        <w:lastRenderedPageBreak/>
        <w:t>Abstract</w:t>
      </w:r>
    </w:p>
    <w:p w14:paraId="79E018AD"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Rationale.</w:t>
      </w:r>
      <w:r>
        <w:rPr>
          <w:rFonts w:ascii="Times New Roman" w:eastAsia="Times New Roman" w:hAnsi="Times New Roman" w:cs="Times New Roman"/>
          <w:color w:val="000000"/>
        </w:rPr>
        <w:t xml:space="preserve"> Standardized mortality ratios from severity of illness scores are used to compare intensive care unit performance. These scores estimate the probability of death under full treatment and contain no term for treatment limitation.</w:t>
      </w:r>
    </w:p>
    <w:p w14:paraId="251F935E"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Objective.</w:t>
      </w:r>
      <w:r>
        <w:rPr>
          <w:rFonts w:ascii="Times New Roman" w:eastAsia="Times New Roman" w:hAnsi="Times New Roman" w:cs="Times New Roman"/>
          <w:color w:val="000000"/>
        </w:rPr>
        <w:t xml:space="preserve"> To determine </w:t>
      </w:r>
      <w:proofErr w:type="gramStart"/>
      <w:r>
        <w:rPr>
          <w:rFonts w:ascii="Times New Roman" w:eastAsia="Times New Roman" w:hAnsi="Times New Roman" w:cs="Times New Roman"/>
          <w:color w:val="000000"/>
        </w:rPr>
        <w:t>whether between</w:t>
      </w:r>
      <w:proofErr w:type="gramEnd"/>
      <w:r>
        <w:rPr>
          <w:rFonts w:ascii="Times New Roman" w:eastAsia="Times New Roman" w:hAnsi="Times New Roman" w:cs="Times New Roman"/>
          <w:color w:val="000000"/>
        </w:rPr>
        <w:t xml:space="preserve"> unit variation in treatment </w:t>
      </w:r>
      <w:proofErr w:type="gramStart"/>
      <w:r>
        <w:rPr>
          <w:rFonts w:ascii="Times New Roman" w:eastAsia="Times New Roman" w:hAnsi="Times New Roman" w:cs="Times New Roman"/>
          <w:color w:val="000000"/>
        </w:rPr>
        <w:t>limitation documentation</w:t>
      </w:r>
      <w:proofErr w:type="gramEnd"/>
      <w:r>
        <w:rPr>
          <w:rFonts w:ascii="Times New Roman" w:eastAsia="Times New Roman" w:hAnsi="Times New Roman" w:cs="Times New Roman"/>
          <w:color w:val="000000"/>
        </w:rPr>
        <w:t xml:space="preserve"> reflects patient case mix or local practice, and to quantify its effect on risk adjusted mortality benchmarking.</w:t>
      </w:r>
    </w:p>
    <w:p w14:paraId="476553FD"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Methods.</w:t>
      </w:r>
      <w:r>
        <w:rPr>
          <w:rFonts w:ascii="Times New Roman" w:eastAsia="Times New Roman" w:hAnsi="Times New Roman" w:cs="Times New Roman"/>
          <w:color w:val="000000"/>
        </w:rPr>
        <w:t xml:space="preserve"> Retrospective analysis of 136,236 adult admissions to 190 US intensive care units in the </w:t>
      </w:r>
      <w:proofErr w:type="spellStart"/>
      <w:r>
        <w:rPr>
          <w:rFonts w:ascii="Times New Roman" w:eastAsia="Times New Roman" w:hAnsi="Times New Roman" w:cs="Times New Roman"/>
          <w:color w:val="000000"/>
        </w:rPr>
        <w:t>eICU</w:t>
      </w:r>
      <w:proofErr w:type="spellEnd"/>
      <w:r>
        <w:rPr>
          <w:rFonts w:ascii="Times New Roman" w:eastAsia="Times New Roman" w:hAnsi="Times New Roman" w:cs="Times New Roman"/>
          <w:color w:val="000000"/>
        </w:rPr>
        <w:t xml:space="preserve"> Collaborative Research Database, 2014 to 2015. Limitation documented within 24 hours was classified from full therapy to comfort measures only. We assessed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calibration within strata, compared the highest and lowest limitation quintiles before and after inverse probability weighting, and ranked units with and without limitation in the risk model.</w:t>
      </w:r>
    </w:p>
    <w:p w14:paraId="1553FEC2"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Measurements and Main Results.</w:t>
      </w:r>
      <w:r>
        <w:rPr>
          <w:rFonts w:ascii="Times New Roman" w:eastAsia="Times New Roman" w:hAnsi="Times New Roman" w:cs="Times New Roman"/>
          <w:color w:val="000000"/>
        </w:rPr>
        <w:t xml:space="preserve"> Code status was documented in 96.1 percent of admissions and 9.9 percent carried a limitation. The standardized mortality ratio rose from 0.62 under full therapy to 1.87 under comfort measures, and the integrated calibration index from 0.037 to 0.342. After </w:t>
      </w:r>
      <w:proofErr w:type="gramStart"/>
      <w:r>
        <w:rPr>
          <w:rFonts w:ascii="Times New Roman" w:eastAsia="Times New Roman" w:hAnsi="Times New Roman" w:cs="Times New Roman"/>
          <w:color w:val="000000"/>
        </w:rPr>
        <w:t>weighting</w:t>
      </w:r>
      <w:proofErr w:type="gramEnd"/>
      <w:r>
        <w:rPr>
          <w:rFonts w:ascii="Times New Roman" w:eastAsia="Times New Roman" w:hAnsi="Times New Roman" w:cs="Times New Roman"/>
          <w:color w:val="000000"/>
        </w:rPr>
        <w:t xml:space="preserve"> balanced all 13 covariates, units in the highest quintile still documented limitation 2.89 times as often as the lowest, against 3.58 unweighted. Adding limitation to the risk model changed quartile assignment for 23.5 percent of units and reversed outlier classification for 8.0 percent, with movement predicted by unit limitation rate (rho negative 0.689). Excluding the 878 comfort measures admissions, 0.6 percent, reclassified 11.1 percent of units.</w:t>
      </w:r>
    </w:p>
    <w:p w14:paraId="526116E4"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Conclusions.</w:t>
      </w:r>
      <w:r>
        <w:rPr>
          <w:rFonts w:ascii="Times New Roman" w:eastAsia="Times New Roman" w:hAnsi="Times New Roman" w:cs="Times New Roman"/>
          <w:color w:val="000000"/>
        </w:rPr>
        <w:t xml:space="preserve"> Units differ severalfold in documenting treatment limitation and case mix does not account for it. Benchmarking that ignores these decisions disadvantages units documenting limitations more often.</w:t>
      </w:r>
    </w:p>
    <w:p w14:paraId="22072FE6" w14:textId="77777777" w:rsidR="00176135" w:rsidRDefault="00176135">
      <w:pP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71B80E6E" w14:textId="052CC827" w:rsidR="006920B6" w:rsidRDefault="00000000" w:rsidP="00176135">
      <w:pPr>
        <w:pBdr>
          <w:top w:val="none" w:sz="0" w:space="0" w:color="000000"/>
          <w:left w:val="none" w:sz="0" w:space="0" w:color="000000"/>
          <w:bottom w:val="none" w:sz="0" w:space="0" w:color="000000"/>
          <w:right w:val="none" w:sz="0" w:space="0" w:color="000000"/>
        </w:pBdr>
        <w:spacing w:before="28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1. Introduction</w:t>
      </w:r>
    </w:p>
    <w:p w14:paraId="6F0AD50B"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End of life practice varies widely between intensive care units. Withdrawal of life sustaining treatment among patients who die ranges from 0 to 84 percent across published cohorts (1). The Ethicus-2 investigators found comparable variation across 199 units in 36 countries (2). Variation has been documented between countries, between regions and between units within a single country (1, 3, 4). Two academic centers at opposite extremes of treatment intensity differed in decision making norms rather than in patients (5). Hospital level measures of </w:t>
      </w:r>
      <w:proofErr w:type="gramStart"/>
      <w:r>
        <w:rPr>
          <w:rFonts w:ascii="Times New Roman" w:eastAsia="Times New Roman" w:hAnsi="Times New Roman" w:cs="Times New Roman"/>
          <w:color w:val="000000"/>
        </w:rPr>
        <w:t>end of life</w:t>
      </w:r>
      <w:proofErr w:type="gramEnd"/>
      <w:r>
        <w:rPr>
          <w:rFonts w:ascii="Times New Roman" w:eastAsia="Times New Roman" w:hAnsi="Times New Roman" w:cs="Times New Roman"/>
          <w:color w:val="000000"/>
        </w:rPr>
        <w:t xml:space="preserve"> treatment intensity have been developed and validated for precisely this reason (6). Hart and colleagues studied 277,693 admissions to 141 US units and found the proportion admitted with existing treatment limitations ranged from under 1 percent to 20.9 percent after risk adjustment (7). Measurable center characteristics did not explain that variation (7).</w:t>
      </w:r>
    </w:p>
    <w:p w14:paraId="0D9BF0A6"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Treatment limitation is common in critical illness. Do not resuscitate orders were recorded in 13 percent of 24,790 admissions to one tertiary unit over 19 years (8), and in 36.6 percent of a medical intensive care cohort when orders for life sustaining treatment were included (9). Timing varies, with roughly a quarter of orders written within 48 hours of admission and the remainder later (10). These orders carry substantial prognostic weight. Mortality among patients with such orders is several times that of patients without them (9, 11), and the association persists after propensity matching (12). Placing an order also changes subsequent care, including the intensity of interventions delivered (13).</w:t>
      </w:r>
    </w:p>
    <w:p w14:paraId="326BC847"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Severity of illness scores estimate the probability of death under full treatment. The APACHE method was introduced in 1985 and validated on 5,815 admissions from 13 hospitals (14). The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model was derived from 110,558 admissions to 104 units during 2002 and 2003 (15). Its covariates describe physiology, age, comorbidity and admission diagnosis (15). Comparable models including SAPS 3 and the Simplified Acute Physiology Score share this structure (16, 17). No covariate in any of them represents a decision to withhold resuscitation. An order not to resuscitate alters the probability of death without altering any variable the model observes.</w:t>
      </w:r>
    </w:p>
    <w:p w14:paraId="6BEF1991"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The performance of these models is known to be unstable. Discrimination and calibration deteriorate as practice changes, which is why successive versions have been required (18, 19). Performance also differs across ethnic groups within the same health system (20). Calibration is generally the first property to fail while discrimination is preserved (18).</w:t>
      </w:r>
    </w:p>
    <w:p w14:paraId="4EB4BE58"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Standardized mortality ratios derived from these scores are the accepted currency of intensive care benchmarking (21). Units are compared and ranked on observed deaths divided by predicted deaths, and in some systems reimbursed on that basis (21). The ratio is assumed to isolate quality of care once case mix is accounted for (21). Several lines of evidence suggest the assumption is fragile. Glance and colleagues showed that the choice of scoring system determines which units are labeled outliers (21). Kramer and colleagues compared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against a National Quality Forum model across 89,353 admissions and found the two agreed on the direction and significance of the standardized mortality ratio in only 45 percent of units (22). Admission patterns alone alter </w:t>
      </w:r>
      <w:proofErr w:type="gramStart"/>
      <w:r>
        <w:rPr>
          <w:rFonts w:ascii="Times New Roman" w:eastAsia="Times New Roman" w:hAnsi="Times New Roman" w:cs="Times New Roman"/>
          <w:color w:val="000000"/>
        </w:rPr>
        <w:t>mortality based</w:t>
      </w:r>
      <w:proofErr w:type="gramEnd"/>
      <w:r>
        <w:rPr>
          <w:rFonts w:ascii="Times New Roman" w:eastAsia="Times New Roman" w:hAnsi="Times New Roman" w:cs="Times New Roman"/>
          <w:color w:val="000000"/>
        </w:rPr>
        <w:t xml:space="preserve"> performance measures (23). Risk adjusted mortality carries conceptual limits that constrain its use as a quality signal, since a statistically unexpected death is not the same as a preventable one (24). Model misspecification </w:t>
      </w:r>
      <w:r>
        <w:rPr>
          <w:rFonts w:ascii="Times New Roman" w:eastAsia="Times New Roman" w:hAnsi="Times New Roman" w:cs="Times New Roman"/>
          <w:color w:val="000000"/>
        </w:rPr>
        <w:lastRenderedPageBreak/>
        <w:t>introduces bias into the resulting quality measures (25), and alternative modeling strategies produce materially different unit level estimates (26, 27).</w:t>
      </w:r>
    </w:p>
    <w:p w14:paraId="06F71AC0"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Whether treatment limitation practice distorts these comparisons has not been tested. Hart and colleagues proposed that advance care planning norms contribute to variation in intensive care use and demonstrated the mechanism by simulation (28). Feng and Dubin identified variables associated with incorrect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predictions in a multicenter database and included the frequency of care limitation change among </w:t>
      </w:r>
      <w:proofErr w:type="gramStart"/>
      <w:r>
        <w:rPr>
          <w:rFonts w:ascii="Times New Roman" w:eastAsia="Times New Roman" w:hAnsi="Times New Roman" w:cs="Times New Roman"/>
          <w:color w:val="000000"/>
        </w:rPr>
        <w:t>them, but</w:t>
      </w:r>
      <w:proofErr w:type="gramEnd"/>
      <w:r>
        <w:rPr>
          <w:rFonts w:ascii="Times New Roman" w:eastAsia="Times New Roman" w:hAnsi="Times New Roman" w:cs="Times New Roman"/>
          <w:color w:val="000000"/>
        </w:rPr>
        <w:t xml:space="preserve"> examined classification error rather than calibration (29). No study has measured the consequence for risk adjusted mortality benchmarking in observed data.</w:t>
      </w:r>
    </w:p>
    <w:p w14:paraId="50C9F6FD"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We examined 136,236 admissions to 190 US intensive care units. We asked whether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calibration depends on documented treatment limitation, whether between unit variation in limitation survives balancing of patient case mix, and whether accounting for limitation changes how units are ranked.</w:t>
      </w:r>
    </w:p>
    <w:p w14:paraId="6F152D6F"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color w:val="000000"/>
          <w:sz w:val="26"/>
          <w:szCs w:val="26"/>
        </w:rPr>
        <w:t>2. Methods</w:t>
      </w:r>
    </w:p>
    <w:p w14:paraId="1A7D0040"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Data source</w:t>
      </w:r>
    </w:p>
    <w:p w14:paraId="487F53B8"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We analyzed the </w:t>
      </w:r>
      <w:proofErr w:type="spellStart"/>
      <w:r>
        <w:rPr>
          <w:rFonts w:ascii="Times New Roman" w:eastAsia="Times New Roman" w:hAnsi="Times New Roman" w:cs="Times New Roman"/>
          <w:color w:val="000000"/>
        </w:rPr>
        <w:t>eICU</w:t>
      </w:r>
      <w:proofErr w:type="spellEnd"/>
      <w:r>
        <w:rPr>
          <w:rFonts w:ascii="Times New Roman" w:eastAsia="Times New Roman" w:hAnsi="Times New Roman" w:cs="Times New Roman"/>
          <w:color w:val="000000"/>
        </w:rPr>
        <w:t xml:space="preserve"> Collaborative Research Database version 2.0, which contains 200,859 unit stays at 208 US hospitals participating in a tele critical care program during 2014 and 2015 (30). The database carries vital signs, laboratory values, care plan documentation, severity scores and outcomes (30), and has been characterized in detail elsewhere (31). It is deidentified and was accessed under a data use agreement following completion of human </w:t>
      </w:r>
      <w:proofErr w:type="gramStart"/>
      <w:r>
        <w:rPr>
          <w:rFonts w:ascii="Times New Roman" w:eastAsia="Times New Roman" w:hAnsi="Times New Roman" w:cs="Times New Roman"/>
          <w:color w:val="000000"/>
        </w:rPr>
        <w:t>subjects</w:t>
      </w:r>
      <w:proofErr w:type="gramEnd"/>
      <w:r>
        <w:rPr>
          <w:rFonts w:ascii="Times New Roman" w:eastAsia="Times New Roman" w:hAnsi="Times New Roman" w:cs="Times New Roman"/>
          <w:color w:val="000000"/>
        </w:rPr>
        <w:t xml:space="preserve"> research training (30). Institutional review board approval was waived for analysis of this deidentified resource. Reporting follows the TRIPOD recommendations for studies evaluating prediction models (32, 33).</w:t>
      </w:r>
    </w:p>
    <w:p w14:paraId="57BB83B9"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Cohort</w:t>
      </w:r>
    </w:p>
    <w:p w14:paraId="4FB92DCB"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We included adult unit stays with a valid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predicted hospital mortality linked to the APACHE predictor table, yielding 136,236 stays at 190 units. Unit level analyses were restricted to the 162 units contributing 100 or more stays, comprising 135,325 admissions. Figure S1 shows the derivation.</w:t>
      </w:r>
    </w:p>
    <w:p w14:paraId="0E1E9991"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Exposure</w:t>
      </w:r>
    </w:p>
    <w:p w14:paraId="46F61AD4"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Treatment limitation was taken from structured care plan documentation. For each stay we recorded the most restrictive value documented within 24 hours of unit admission on an ordered scale. Full therapy formed the reference. Limitation of resuscitation type comprised do not resuscitate, no cardiopulmonary resuscitation, no intubation and no cardioversion. Partial withdrawal comprised no vasopressors or inotropes, no augmentation of care, no blood products and no blood draws. Comfort measures only formed the most restrictive category. Stays with no entry were retained as an undocumented category and reported but not interpreted.</w:t>
      </w:r>
    </w:p>
    <w:p w14:paraId="6A7017F8"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lastRenderedPageBreak/>
        <w:t xml:space="preserve">The </w:t>
      </w:r>
      <w:proofErr w:type="gramStart"/>
      <w:r>
        <w:rPr>
          <w:rFonts w:ascii="Times New Roman" w:eastAsia="Times New Roman" w:hAnsi="Times New Roman" w:cs="Times New Roman"/>
          <w:color w:val="000000"/>
        </w:rPr>
        <w:t>24 hour</w:t>
      </w:r>
      <w:proofErr w:type="gramEnd"/>
      <w:r>
        <w:rPr>
          <w:rFonts w:ascii="Times New Roman" w:eastAsia="Times New Roman" w:hAnsi="Times New Roman" w:cs="Times New Roman"/>
          <w:color w:val="000000"/>
        </w:rPr>
        <w:t xml:space="preserve"> window follows prior work distinguishing early from late limitation orders (10) and limits the degree to which the exposure reflects deterioration occurring later in the stay.</w:t>
      </w:r>
    </w:p>
    <w:p w14:paraId="695486F1"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Outcome</w:t>
      </w:r>
    </w:p>
    <w:p w14:paraId="6AC9C36F"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In </w:t>
      </w:r>
      <w:proofErr w:type="gramStart"/>
      <w:r>
        <w:rPr>
          <w:rFonts w:ascii="Times New Roman" w:eastAsia="Times New Roman" w:hAnsi="Times New Roman" w:cs="Times New Roman"/>
          <w:color w:val="000000"/>
        </w:rPr>
        <w:t>hospital</w:t>
      </w:r>
      <w:proofErr w:type="gramEnd"/>
      <w:r>
        <w:rPr>
          <w:rFonts w:ascii="Times New Roman" w:eastAsia="Times New Roman" w:hAnsi="Times New Roman" w:cs="Times New Roman"/>
          <w:color w:val="000000"/>
        </w:rPr>
        <w:t xml:space="preserve"> mortality was compared against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predicted hospital mortality.</w:t>
      </w:r>
    </w:p>
    <w:p w14:paraId="595B6B24"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Statistical analysis</w:t>
      </w:r>
    </w:p>
    <w:p w14:paraId="232A1A9F"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Calibration was assessed by logistic recalibration, regressing observed mortality on the logit of predicted mortality. A slope of 1 and an intercept of 0 indicate perfect calibration. Within strata we report the standardized mortality ratio and the integrated calibration index, the mean absolute difference between a smoothed observed risk and the predicted risk (34, 35). Standard errors were clustered on unit throughout.</w:t>
      </w:r>
    </w:p>
    <w:p w14:paraId="214C17BC"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The independent contribution of limitation status was estimated by adding it to a recalibration model containing the APACHE linear predictor. Malignancy was included to test whether an established source of miscalibration behaves similarly (36). Discrimination was assessed on a random 30 percent holdout of 40,871 admissions by area under the receiver operating characteristic curve with DeLong's test and by Brier score.</w:t>
      </w:r>
    </w:p>
    <w:p w14:paraId="7F375631"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To distinguish practice from case mix we compared units in the highest and lowest quintile of limitation rate. Patient characteristics were balanced by inverse probability of treatment weighting estimated by logistic regression, following recommended practice (37). Balance was assessed by standardized mean differences against a threshold of 0.1 (37). We then compared limitation rates between quintiles before and after </w:t>
      </w:r>
      <w:proofErr w:type="gramStart"/>
      <w:r>
        <w:rPr>
          <w:rFonts w:ascii="Times New Roman" w:eastAsia="Times New Roman" w:hAnsi="Times New Roman" w:cs="Times New Roman"/>
          <w:color w:val="000000"/>
        </w:rPr>
        <w:t>weighting</w:t>
      </w:r>
      <w:proofErr w:type="gramEnd"/>
      <w:r>
        <w:rPr>
          <w:rFonts w:ascii="Times New Roman" w:eastAsia="Times New Roman" w:hAnsi="Times New Roman" w:cs="Times New Roman"/>
          <w:color w:val="000000"/>
        </w:rPr>
        <w:t>. If case mix accounted for the difference, balancing case mix should remove it. Between unit variation was additionally summarized by the intraclass correlation coefficient and the median odds ratio from mixed effects models with a unit random intercept (38, 39).</w:t>
      </w:r>
    </w:p>
    <w:p w14:paraId="08F2A046"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To quantify the benchmarking consequence, expected deaths per unit were </w:t>
      </w:r>
      <w:proofErr w:type="gramStart"/>
      <w:r>
        <w:rPr>
          <w:rFonts w:ascii="Times New Roman" w:eastAsia="Times New Roman" w:hAnsi="Times New Roman" w:cs="Times New Roman"/>
          <w:color w:val="000000"/>
        </w:rPr>
        <w:t>computed twice</w:t>
      </w:r>
      <w:proofErr w:type="gramEnd"/>
      <w:r>
        <w:rPr>
          <w:rFonts w:ascii="Times New Roman" w:eastAsia="Times New Roman" w:hAnsi="Times New Roman" w:cs="Times New Roman"/>
          <w:color w:val="000000"/>
        </w:rPr>
        <w:t xml:space="preserve">. The first used a recalibrated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model representing current practice. The second added limitation status. Units were ranked by standardized mortality ratio under each and compared on rank shift, quartile change and outlier status using exact Poisson 95 percent limits following Spiegelhalter (40). We additionally evaluated two simpler strategies, excluding admissions under comfort measures orders and excluding all admissions with any limitation.</w:t>
      </w:r>
    </w:p>
    <w:p w14:paraId="5EFB4451"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Analyses used R version 4.6.0.</w:t>
      </w:r>
    </w:p>
    <w:p w14:paraId="6878BBAD"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color w:val="000000"/>
          <w:sz w:val="26"/>
          <w:szCs w:val="26"/>
        </w:rPr>
        <w:t>3. Results</w:t>
      </w:r>
    </w:p>
    <w:p w14:paraId="7AC4DD65"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Cohort</w:t>
      </w:r>
    </w:p>
    <w:p w14:paraId="6D6E6E10"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Among 136,236 admissions</w:t>
      </w:r>
      <w:proofErr w:type="gramStart"/>
      <w:r>
        <w:rPr>
          <w:rFonts w:ascii="Times New Roman" w:eastAsia="Times New Roman" w:hAnsi="Times New Roman" w:cs="Times New Roman"/>
          <w:color w:val="000000"/>
        </w:rPr>
        <w:t>, mean</w:t>
      </w:r>
      <w:proofErr w:type="gramEnd"/>
      <w:r>
        <w:rPr>
          <w:rFonts w:ascii="Times New Roman" w:eastAsia="Times New Roman" w:hAnsi="Times New Roman" w:cs="Times New Roman"/>
          <w:color w:val="000000"/>
        </w:rPr>
        <w:t xml:space="preserve">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predicted mortality was 11.8 percent against observed mortality of 8.85 percent, giving an overall standardized mortality ratio of 0.75. Code status was documented within 24 hours in 96.1 percent of admissions. A limitation beyond full therapy was present in 13,496 admissions, or 9.9 percent.</w:t>
      </w:r>
    </w:p>
    <w:p w14:paraId="40815E1D"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lastRenderedPageBreak/>
        <w:t xml:space="preserve">Table 1 shows cohort characteristics by limitation status. Patients with any limitation were older, with a median age of 77 years in the resuscitation limitation group against 63 years under full therapy. They were more severely ill, with a median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score of 66 against 49. Patients under comfort measures orders had a median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score of 85 and a median unit stay of 18.2 hours.</w:t>
      </w:r>
    </w:p>
    <w:p w14:paraId="3E045394"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 xml:space="preserve">APACHE </w:t>
      </w:r>
      <w:proofErr w:type="spellStart"/>
      <w:r>
        <w:rPr>
          <w:rFonts w:ascii="Times New Roman" w:eastAsia="Times New Roman" w:hAnsi="Times New Roman" w:cs="Times New Roman"/>
          <w:b/>
          <w:i/>
          <w:color w:val="000000"/>
        </w:rPr>
        <w:t>IVa</w:t>
      </w:r>
      <w:proofErr w:type="spellEnd"/>
      <w:r>
        <w:rPr>
          <w:rFonts w:ascii="Times New Roman" w:eastAsia="Times New Roman" w:hAnsi="Times New Roman" w:cs="Times New Roman"/>
          <w:b/>
          <w:i/>
          <w:color w:val="000000"/>
        </w:rPr>
        <w:t xml:space="preserve"> calibration depends on treatment limitation</w:t>
      </w:r>
    </w:p>
    <w:p w14:paraId="470734D3"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The overall calibration slope was 1.005 with an intercept of negative 0.425. The model ranks patients almost perfectly and is uniformly displaced, over predicting death across the entire risk range. This pattern of preserved discrimination with failed calibration matches that described for severity scores in contemporary cohorts (18).</w:t>
      </w:r>
    </w:p>
    <w:p w14:paraId="7A82573E"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Calibration differed sharply by limitation status (Table 2, Figure 1A). The standardized mortality ratio was 0.62 under full therapy, 1.17 with resuscitation limitation, 1.22 with partial withdrawal and 1.87 under comfort measures only. The integrated calibration index was 0.039, 0.037 and 0.054 in the first three strata and 0.34 under comfort measures. In that stratum the model is not </w:t>
      </w:r>
      <w:proofErr w:type="spellStart"/>
      <w:r>
        <w:rPr>
          <w:rFonts w:ascii="Times New Roman" w:eastAsia="Times New Roman" w:hAnsi="Times New Roman" w:cs="Times New Roman"/>
          <w:color w:val="000000"/>
        </w:rPr>
        <w:t>miscalibrated</w:t>
      </w:r>
      <w:proofErr w:type="spellEnd"/>
      <w:r>
        <w:rPr>
          <w:rFonts w:ascii="Times New Roman" w:eastAsia="Times New Roman" w:hAnsi="Times New Roman" w:cs="Times New Roman"/>
          <w:color w:val="000000"/>
        </w:rPr>
        <w:t xml:space="preserve"> but uninformative.</w:t>
      </w:r>
    </w:p>
    <w:p w14:paraId="7559E87F"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In a recalibration model with full therapy as reference, the adjusted odds of death were 2.63 with resuscitation limitation, 2.97 with partial withdrawal and 15.30 under comfort measures only (Figure 1B). Metastatic or hematologic malignancy carried an adjusted odds ratio of 1.15. Adding limitation status reduced model deviance by 3.6 percent against 0.0 percent for malignancy, and the likelihood ratio statistic was 2,136 against 17.</w:t>
      </w:r>
    </w:p>
    <w:p w14:paraId="15393D76"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On held out data, adding limitation status improved the area under the curve from 0.8657 to 0.8760, significant by DeLong's test at p less than 0.001, and reduced the Brier score from 0.0621 to 0.0579. Adding malignancy changed the area under the curve by 0.0001, which was not significant (Table S1).</w:t>
      </w:r>
    </w:p>
    <w:p w14:paraId="4FF78BF1"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Variation between units is not explained by case mix</w:t>
      </w:r>
    </w:p>
    <w:p w14:paraId="66C07F9B"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Across 162 units, limitation rates ranged from 0 to 27.5 percent with a median of 10.5 percent (Figure 2A). One unit documented no limitation across more than 100 admissions.</w:t>
      </w:r>
    </w:p>
    <w:p w14:paraId="01EC3C19"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Units in the highest limitation quintile differed from those in the lowest on two of 13 measured characteristics before </w:t>
      </w:r>
      <w:proofErr w:type="gramStart"/>
      <w:r>
        <w:rPr>
          <w:rFonts w:ascii="Times New Roman" w:eastAsia="Times New Roman" w:hAnsi="Times New Roman" w:cs="Times New Roman"/>
          <w:color w:val="000000"/>
        </w:rPr>
        <w:t>weighting</w:t>
      </w:r>
      <w:proofErr w:type="gramEnd"/>
      <w:r>
        <w:rPr>
          <w:rFonts w:ascii="Times New Roman" w:eastAsia="Times New Roman" w:hAnsi="Times New Roman" w:cs="Times New Roman"/>
          <w:color w:val="000000"/>
        </w:rPr>
        <w:t xml:space="preserve">. Patients were older, with a standardized mean difference of 0.197, and more often admitted from the emergency department, at 0.149. Severity was </w:t>
      </w:r>
      <w:proofErr w:type="gramStart"/>
      <w:r>
        <w:rPr>
          <w:rFonts w:ascii="Times New Roman" w:eastAsia="Times New Roman" w:hAnsi="Times New Roman" w:cs="Times New Roman"/>
          <w:color w:val="000000"/>
        </w:rPr>
        <w:t>near</w:t>
      </w:r>
      <w:proofErr w:type="gramEnd"/>
      <w:r>
        <w:rPr>
          <w:rFonts w:ascii="Times New Roman" w:eastAsia="Times New Roman" w:hAnsi="Times New Roman" w:cs="Times New Roman"/>
          <w:color w:val="000000"/>
        </w:rPr>
        <w:t xml:space="preserve"> identical, at negative 0.006 for the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score and 0.008 for predicted mortality.</w:t>
      </w:r>
    </w:p>
    <w:p w14:paraId="5ECA35F1"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After inverse probability weighting all 13 covariates balanced within the 0.1 threshold (Figure 2B). Age fell to negative 0.004 and admission from the emergency department to 0.004. Despite complete balance on measured characteristics, units in the highest quintile documented limitation in 16.5 percent of admissions against 5.7 percent in the lowest, a ratio of 2.89. The </w:t>
      </w:r>
      <w:proofErr w:type="gramStart"/>
      <w:r>
        <w:rPr>
          <w:rFonts w:ascii="Times New Roman" w:eastAsia="Times New Roman" w:hAnsi="Times New Roman" w:cs="Times New Roman"/>
          <w:color w:val="000000"/>
        </w:rPr>
        <w:t>unweighted</w:t>
      </w:r>
      <w:proofErr w:type="gramEnd"/>
      <w:r>
        <w:rPr>
          <w:rFonts w:ascii="Times New Roman" w:eastAsia="Times New Roman" w:hAnsi="Times New Roman" w:cs="Times New Roman"/>
          <w:color w:val="000000"/>
        </w:rPr>
        <w:t xml:space="preserve"> ratio was 3.58. Approximately four fifths of the difference in practice survived balancing of patient case mix.</w:t>
      </w:r>
    </w:p>
    <w:p w14:paraId="0E843480"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lastRenderedPageBreak/>
        <w:t>Mixed effects models gave the same answer. The intraclass correlation was 0.084 before adjustment and 0.104 after adjustment for case mix. The median odds ratio rose from 1.69 to 1.80, indicating that moving a patient between randomly chosen units changes the odds of documented limitation by close to twofold (39).</w:t>
      </w:r>
    </w:p>
    <w:p w14:paraId="00DEC3BB"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Consequences for benchmarking</w:t>
      </w:r>
    </w:p>
    <w:p w14:paraId="7D079D5E"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Adding limitation status to the risk model preserved the overall ordering of units, with a Spearman correlation of 0.949, while moving individual units substantially (Table S2). The median absolute rank shift was 7.5 positions of 162. </w:t>
      </w:r>
      <w:proofErr w:type="gramStart"/>
      <w:r>
        <w:rPr>
          <w:rFonts w:ascii="Times New Roman" w:eastAsia="Times New Roman" w:hAnsi="Times New Roman" w:cs="Times New Roman"/>
          <w:color w:val="000000"/>
        </w:rPr>
        <w:t>Sixty two</w:t>
      </w:r>
      <w:proofErr w:type="gramEnd"/>
      <w:r>
        <w:rPr>
          <w:rFonts w:ascii="Times New Roman" w:eastAsia="Times New Roman" w:hAnsi="Times New Roman" w:cs="Times New Roman"/>
          <w:color w:val="000000"/>
        </w:rPr>
        <w:t xml:space="preserve"> units moved more than 10 positions and 24 moved more than 20.</w:t>
      </w:r>
    </w:p>
    <w:p w14:paraId="282D2772"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proofErr w:type="gramStart"/>
      <w:r>
        <w:rPr>
          <w:rFonts w:ascii="Times New Roman" w:eastAsia="Times New Roman" w:hAnsi="Times New Roman" w:cs="Times New Roman"/>
          <w:color w:val="000000"/>
        </w:rPr>
        <w:t>Thirty eight</w:t>
      </w:r>
      <w:proofErr w:type="gramEnd"/>
      <w:r>
        <w:rPr>
          <w:rFonts w:ascii="Times New Roman" w:eastAsia="Times New Roman" w:hAnsi="Times New Roman" w:cs="Times New Roman"/>
          <w:color w:val="000000"/>
        </w:rPr>
        <w:t xml:space="preserve"> units, or 23.5 percent, changed quartile. Thirteen units, or 8.0 percent, changed outlier classification against exact Poisson limits (40). Four units previously flagged as high mortality became unremarkable and three previously unremarkable units became outliers (Figure 3B).</w:t>
      </w:r>
    </w:p>
    <w:p w14:paraId="674F0F03"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Movement was systematic. The signed rank shift correlated with a unit's limitation rate at a Spearman coefficient of negative 0.689 (Figure 3A). Units in the lowest limitation quintile moved from a standardized mortality ratio of 0.984 to 1.027. Units in the highest </w:t>
      </w:r>
      <w:proofErr w:type="gramStart"/>
      <w:r>
        <w:rPr>
          <w:rFonts w:ascii="Times New Roman" w:eastAsia="Times New Roman" w:hAnsi="Times New Roman" w:cs="Times New Roman"/>
          <w:color w:val="000000"/>
        </w:rPr>
        <w:t>quintile</w:t>
      </w:r>
      <w:proofErr w:type="gramEnd"/>
      <w:r>
        <w:rPr>
          <w:rFonts w:ascii="Times New Roman" w:eastAsia="Times New Roman" w:hAnsi="Times New Roman" w:cs="Times New Roman"/>
          <w:color w:val="000000"/>
        </w:rPr>
        <w:t xml:space="preserve"> moved from 1.013 to 0.876. Under current benchmarking these quintiles appear equivalent. After accounting for </w:t>
      </w:r>
      <w:proofErr w:type="gramStart"/>
      <w:r>
        <w:rPr>
          <w:rFonts w:ascii="Times New Roman" w:eastAsia="Times New Roman" w:hAnsi="Times New Roman" w:cs="Times New Roman"/>
          <w:color w:val="000000"/>
        </w:rPr>
        <w:t>limitation</w:t>
      </w:r>
      <w:proofErr w:type="gramEnd"/>
      <w:r>
        <w:rPr>
          <w:rFonts w:ascii="Times New Roman" w:eastAsia="Times New Roman" w:hAnsi="Times New Roman" w:cs="Times New Roman"/>
          <w:color w:val="000000"/>
        </w:rPr>
        <w:t xml:space="preserve"> they do not.</w:t>
      </w:r>
    </w:p>
    <w:p w14:paraId="5EFFD4AF"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i/>
          <w:color w:val="000000"/>
        </w:rPr>
        <w:t>A simpler remedy</w:t>
      </w:r>
    </w:p>
    <w:p w14:paraId="178F1B50"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Excluding the 878 admissions under comfort measures orders, 0.6 percent of the cohort, reclassified 18 units across quartiles, or 11.1 percent (Table 3). Full adjustment for the ordered limitation scale reclassified 38 units, or 23.5 percent. Excluding all 13,496 admissions with any limitation reclassified 46 units, or 28.4 percent. Excluding the smallest group recovered roughly half the effect of full adjustment.</w:t>
      </w:r>
    </w:p>
    <w:p w14:paraId="68178874"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color w:val="000000"/>
          <w:sz w:val="26"/>
          <w:szCs w:val="26"/>
        </w:rPr>
        <w:t>4. Discussion</w:t>
      </w:r>
    </w:p>
    <w:p w14:paraId="69DAB36A"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calibration depends on a decision the model does not observe. The standardized mortality ratio was 0.62 among patients receiving full therapy and 1.87 among patients under comfort measures. The integrated calibration index in that stratum was nine times larger than elsewhere (34). The model is not merely displaced in these patients. It is uninformative.</w:t>
      </w:r>
    </w:p>
    <w:p w14:paraId="0621CB38"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Documentation of limitation varied severalfold between units and patient case mix did not account for it. This </w:t>
      </w:r>
      <w:proofErr w:type="gramStart"/>
      <w:r>
        <w:rPr>
          <w:rFonts w:ascii="Times New Roman" w:eastAsia="Times New Roman" w:hAnsi="Times New Roman" w:cs="Times New Roman"/>
          <w:color w:val="000000"/>
        </w:rPr>
        <w:t>extends</w:t>
      </w:r>
      <w:proofErr w:type="gramEnd"/>
      <w:r>
        <w:rPr>
          <w:rFonts w:ascii="Times New Roman" w:eastAsia="Times New Roman" w:hAnsi="Times New Roman" w:cs="Times New Roman"/>
          <w:color w:val="000000"/>
        </w:rPr>
        <w:t xml:space="preserve"> Hart and colleagues, who reported comparable variation after regression adjustment in a different database a decade earlier (7). Our design equalized the covariate distributions rather than adjusting for them (37), and roughly four fifths of the practice difference persisted. Limitation rates were higher in our cohort than in theirs, 10.5 percent against 4.0 percent, consistent with the expansion of palliative care services over the intervening period. Palliative care consultation more than doubles transition to limitation orders in randomized comparison, from 23.4 to 50.5 percent (41), and integration of palliative care into critical care alters both process and outcome measures (42, 43). Units therefore differ in </w:t>
      </w:r>
      <w:r>
        <w:rPr>
          <w:rFonts w:ascii="Times New Roman" w:eastAsia="Times New Roman" w:hAnsi="Times New Roman" w:cs="Times New Roman"/>
          <w:color w:val="000000"/>
        </w:rPr>
        <w:lastRenderedPageBreak/>
        <w:t>limitation rate partly because they differ in service configuration, which is a property of the unit rather than of its patients (5).</w:t>
      </w:r>
    </w:p>
    <w:p w14:paraId="597DD16C"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The consequence for benchmarking is substantial. Accounting for limitation moved 23.5 percent of units across quartiles and reversed outlier classification for 8.0 percent. Kramer and colleagues found that substituting an entirely different risk model changed the direction and significance of the standardized mortality ratio in 55 percent of units (22). Glance and colleagues reached a similar conclusion comparing scoring systems (21), and admission patterns alone have been shown to shift these measures (23). We find that a single variable already recorded in 96 percent of charts moves a quarter of quartile assignments. The intervention is far </w:t>
      </w:r>
      <w:proofErr w:type="gramStart"/>
      <w:r>
        <w:rPr>
          <w:rFonts w:ascii="Times New Roman" w:eastAsia="Times New Roman" w:hAnsi="Times New Roman" w:cs="Times New Roman"/>
          <w:color w:val="000000"/>
        </w:rPr>
        <w:t>smaller</w:t>
      </w:r>
      <w:proofErr w:type="gramEnd"/>
      <w:r>
        <w:rPr>
          <w:rFonts w:ascii="Times New Roman" w:eastAsia="Times New Roman" w:hAnsi="Times New Roman" w:cs="Times New Roman"/>
          <w:color w:val="000000"/>
        </w:rPr>
        <w:t xml:space="preserve"> and the effect is of comparable order.</w:t>
      </w:r>
    </w:p>
    <w:p w14:paraId="4AD81146"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Whether to adjust for limitation status is a genuine question and we do not resolve it. Adjustment treats limitation as patient preference and therefore as case mix. Withholding adjustment treats it as modifiable unit behavior. Both positions are defensible. </w:t>
      </w:r>
      <w:proofErr w:type="spellStart"/>
      <w:r>
        <w:rPr>
          <w:rFonts w:ascii="Times New Roman" w:eastAsia="Times New Roman" w:hAnsi="Times New Roman" w:cs="Times New Roman"/>
          <w:color w:val="000000"/>
        </w:rPr>
        <w:t>Nerenz</w:t>
      </w:r>
      <w:proofErr w:type="spellEnd"/>
      <w:r>
        <w:rPr>
          <w:rFonts w:ascii="Times New Roman" w:eastAsia="Times New Roman" w:hAnsi="Times New Roman" w:cs="Times New Roman"/>
          <w:color w:val="000000"/>
        </w:rPr>
        <w:t xml:space="preserve"> and colleagues framed the identical dilemma for social risk factors, where adjustment may conceal real differences in care while omission penalizes institutions serving different populations (44). The parallel is exact. Misspecification of the adjustment model is itself a recognized source of bias in quality measurement (25). Our contribution is not to settle the question but to show that the answer changes the rank of one unit in four, and that the choice is currently made by default.</w:t>
      </w:r>
    </w:p>
    <w:p w14:paraId="5E1B79A1"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A simpler remedy exists. Excluding admissions under comfort measures orders affects six patients in every thousand and recovers half the effect. Benchmarking programs already exclude categories of </w:t>
      </w:r>
      <w:proofErr w:type="gramStart"/>
      <w:r>
        <w:rPr>
          <w:rFonts w:ascii="Times New Roman" w:eastAsia="Times New Roman" w:hAnsi="Times New Roman" w:cs="Times New Roman"/>
          <w:color w:val="000000"/>
        </w:rPr>
        <w:t>patient</w:t>
      </w:r>
      <w:proofErr w:type="gramEnd"/>
      <w:r>
        <w:rPr>
          <w:rFonts w:ascii="Times New Roman" w:eastAsia="Times New Roman" w:hAnsi="Times New Roman" w:cs="Times New Roman"/>
          <w:color w:val="000000"/>
        </w:rPr>
        <w:t xml:space="preserve"> from severity scoring, and the National Quality Forum model excludes 27.9 percent of admissions against 10.6 percent for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(22). Adding one narrow exclusion is feasible within existing practice.</w:t>
      </w:r>
    </w:p>
    <w:p w14:paraId="5F15EF1A"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 xml:space="preserve">This study has limitations. We observed documentation and </w:t>
      </w:r>
      <w:proofErr w:type="gramStart"/>
      <w:r>
        <w:rPr>
          <w:rFonts w:ascii="Times New Roman" w:eastAsia="Times New Roman" w:hAnsi="Times New Roman" w:cs="Times New Roman"/>
          <w:color w:val="000000"/>
        </w:rPr>
        <w:t>not</w:t>
      </w:r>
      <w:proofErr w:type="gramEnd"/>
      <w:r>
        <w:rPr>
          <w:rFonts w:ascii="Times New Roman" w:eastAsia="Times New Roman" w:hAnsi="Times New Roman" w:cs="Times New Roman"/>
          <w:color w:val="000000"/>
        </w:rPr>
        <w:t xml:space="preserve"> practice. Code status documentation in electronic records is frequently incomplete, difficult to locate or internally contradictory (45). Units may limit treatment without recording it, which would understate true variation. The data </w:t>
      </w:r>
      <w:proofErr w:type="gramStart"/>
      <w:r>
        <w:rPr>
          <w:rFonts w:ascii="Times New Roman" w:eastAsia="Times New Roman" w:hAnsi="Times New Roman" w:cs="Times New Roman"/>
          <w:color w:val="000000"/>
        </w:rPr>
        <w:t>describe</w:t>
      </w:r>
      <w:proofErr w:type="gramEnd"/>
      <w:r>
        <w:rPr>
          <w:rFonts w:ascii="Times New Roman" w:eastAsia="Times New Roman" w:hAnsi="Times New Roman" w:cs="Times New Roman"/>
          <w:color w:val="000000"/>
        </w:rPr>
        <w:t xml:space="preserve"> 2014 and 2015 and </w:t>
      </w:r>
      <w:proofErr w:type="gramStart"/>
      <w:r>
        <w:rPr>
          <w:rFonts w:ascii="Times New Roman" w:eastAsia="Times New Roman" w:hAnsi="Times New Roman" w:cs="Times New Roman"/>
          <w:color w:val="000000"/>
        </w:rPr>
        <w:t>derive</w:t>
      </w:r>
      <w:proofErr w:type="gramEnd"/>
      <w:r>
        <w:rPr>
          <w:rFonts w:ascii="Times New Roman" w:eastAsia="Times New Roman" w:hAnsi="Times New Roman" w:cs="Times New Roman"/>
          <w:color w:val="000000"/>
        </w:rPr>
        <w:t xml:space="preserve"> from units participating in a single tele critical care program (30). Limitation status is partly a consequence of prognosis. Clinicians write these orders because they expect death, so limitation encodes information the score </w:t>
      </w:r>
      <w:proofErr w:type="gramStart"/>
      <w:r>
        <w:rPr>
          <w:rFonts w:ascii="Times New Roman" w:eastAsia="Times New Roman" w:hAnsi="Times New Roman" w:cs="Times New Roman"/>
          <w:color w:val="000000"/>
        </w:rPr>
        <w:t>lacks</w:t>
      </w:r>
      <w:proofErr w:type="gramEnd"/>
      <w:r>
        <w:rPr>
          <w:rFonts w:ascii="Times New Roman" w:eastAsia="Times New Roman" w:hAnsi="Times New Roman" w:cs="Times New Roman"/>
          <w:color w:val="000000"/>
        </w:rPr>
        <w:t xml:space="preserve"> and no causal interpretation is available. This same dependency has been shown to bias </w:t>
      </w:r>
      <w:proofErr w:type="gramStart"/>
      <w:r>
        <w:rPr>
          <w:rFonts w:ascii="Times New Roman" w:eastAsia="Times New Roman" w:hAnsi="Times New Roman" w:cs="Times New Roman"/>
          <w:color w:val="000000"/>
        </w:rPr>
        <w:t>mortality based</w:t>
      </w:r>
      <w:proofErr w:type="gramEnd"/>
      <w:r>
        <w:rPr>
          <w:rFonts w:ascii="Times New Roman" w:eastAsia="Times New Roman" w:hAnsi="Times New Roman" w:cs="Times New Roman"/>
          <w:color w:val="000000"/>
        </w:rPr>
        <w:t xml:space="preserve"> effect estimates in trauma (46). Adjusting for a variable partly under unit control carries the hazards of mediator adjustment. Weighting balanced measured characteristics only and unmeasured differences between units may remain (37). Cancer ascertainment relied on APACHE comorbidity flags and captured metastatic solid tumor and hematologic malignancy only (36).</w:t>
      </w:r>
    </w:p>
    <w:p w14:paraId="67829B93"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color w:val="000000"/>
        </w:rPr>
        <w:t>Intensive care units are ranked on mortality. Mortality depends on whether treatment is given. Whether treatment is given depends on a decision that varies severalfold between units for reasons unrelated to patients. Benchmarking that ignores this decision measures end of life practice alongside quality of care.</w:t>
      </w:r>
    </w:p>
    <w:p w14:paraId="18973C28"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color w:val="000000"/>
          <w:sz w:val="26"/>
          <w:szCs w:val="26"/>
        </w:rPr>
        <w:t>5. Declarations</w:t>
      </w:r>
    </w:p>
    <w:p w14:paraId="7CEB97A1"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lastRenderedPageBreak/>
        <w:t>Funding.</w:t>
      </w:r>
      <w:r>
        <w:rPr>
          <w:rFonts w:ascii="Times New Roman" w:eastAsia="Times New Roman" w:hAnsi="Times New Roman" w:cs="Times New Roman"/>
          <w:color w:val="000000"/>
        </w:rPr>
        <w:t xml:space="preserve"> No funding was received for conducting this study.</w:t>
      </w:r>
    </w:p>
    <w:p w14:paraId="7524F82B"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Conflicts of interest.</w:t>
      </w:r>
      <w:r>
        <w:rPr>
          <w:rFonts w:ascii="Times New Roman" w:eastAsia="Times New Roman" w:hAnsi="Times New Roman" w:cs="Times New Roman"/>
          <w:color w:val="000000"/>
        </w:rPr>
        <w:t xml:space="preserve"> The author declares no competing interests.</w:t>
      </w:r>
    </w:p>
    <w:p w14:paraId="26516D0E"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Ethics approval.</w:t>
      </w:r>
      <w:r>
        <w:rPr>
          <w:rFonts w:ascii="Times New Roman" w:eastAsia="Times New Roman" w:hAnsi="Times New Roman" w:cs="Times New Roman"/>
          <w:color w:val="000000"/>
        </w:rPr>
        <w:t xml:space="preserve"> Not required. This study analyzed only de-identified data from the </w:t>
      </w:r>
      <w:proofErr w:type="spellStart"/>
      <w:r>
        <w:rPr>
          <w:rFonts w:ascii="Times New Roman" w:eastAsia="Times New Roman" w:hAnsi="Times New Roman" w:cs="Times New Roman"/>
          <w:color w:val="000000"/>
        </w:rPr>
        <w:t>eICU</w:t>
      </w:r>
      <w:proofErr w:type="spellEnd"/>
      <w:r>
        <w:rPr>
          <w:rFonts w:ascii="Times New Roman" w:eastAsia="Times New Roman" w:hAnsi="Times New Roman" w:cs="Times New Roman"/>
          <w:color w:val="000000"/>
        </w:rPr>
        <w:t xml:space="preserve"> Collaborative Research Database, for which the original collection and release were approved with a waiver of informed consent. No human participants were </w:t>
      </w:r>
      <w:proofErr w:type="gramStart"/>
      <w:r>
        <w:rPr>
          <w:rFonts w:ascii="Times New Roman" w:eastAsia="Times New Roman" w:hAnsi="Times New Roman" w:cs="Times New Roman"/>
          <w:color w:val="000000"/>
        </w:rPr>
        <w:t>involved</w:t>
      </w:r>
      <w:proofErr w:type="gramEnd"/>
      <w:r>
        <w:rPr>
          <w:rFonts w:ascii="Times New Roman" w:eastAsia="Times New Roman" w:hAnsi="Times New Roman" w:cs="Times New Roman"/>
          <w:color w:val="000000"/>
        </w:rPr>
        <w:t xml:space="preserve"> and no identifiable data </w:t>
      </w:r>
      <w:proofErr w:type="gramStart"/>
      <w:r>
        <w:rPr>
          <w:rFonts w:ascii="Times New Roman" w:eastAsia="Times New Roman" w:hAnsi="Times New Roman" w:cs="Times New Roman"/>
          <w:color w:val="000000"/>
        </w:rPr>
        <w:t>were</w:t>
      </w:r>
      <w:proofErr w:type="gramEnd"/>
      <w:r>
        <w:rPr>
          <w:rFonts w:ascii="Times New Roman" w:eastAsia="Times New Roman" w:hAnsi="Times New Roman" w:cs="Times New Roman"/>
          <w:color w:val="000000"/>
        </w:rPr>
        <w:t xml:space="preserve"> accessed. Access was granted following completion of the CITI human subjects research training required by PhysioNet and execution of the PhysioNet Credentialed Health Data Use Agreement.</w:t>
      </w:r>
    </w:p>
    <w:p w14:paraId="1CD16710"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Consent to participate.</w:t>
      </w:r>
      <w:r>
        <w:rPr>
          <w:rFonts w:ascii="Times New Roman" w:eastAsia="Times New Roman" w:hAnsi="Times New Roman" w:cs="Times New Roman"/>
          <w:color w:val="000000"/>
        </w:rPr>
        <w:t xml:space="preserve"> Not applicable.</w:t>
      </w:r>
    </w:p>
    <w:p w14:paraId="286B9466"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Consent for publication.</w:t>
      </w:r>
      <w:r>
        <w:rPr>
          <w:rFonts w:ascii="Times New Roman" w:eastAsia="Times New Roman" w:hAnsi="Times New Roman" w:cs="Times New Roman"/>
          <w:color w:val="000000"/>
        </w:rPr>
        <w:t xml:space="preserve"> Not applicable.</w:t>
      </w:r>
    </w:p>
    <w:p w14:paraId="4228E0C0"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Protocol registration.</w:t>
      </w:r>
      <w:r>
        <w:rPr>
          <w:rFonts w:ascii="Times New Roman" w:eastAsia="Times New Roman" w:hAnsi="Times New Roman" w:cs="Times New Roman"/>
          <w:color w:val="000000"/>
        </w:rPr>
        <w:t xml:space="preserve"> This analysis was not prospectively registered. The exposure definition, the ordered limitation scale, the </w:t>
      </w:r>
      <w:proofErr w:type="gramStart"/>
      <w:r>
        <w:rPr>
          <w:rFonts w:ascii="Times New Roman" w:eastAsia="Times New Roman" w:hAnsi="Times New Roman" w:cs="Times New Roman"/>
          <w:color w:val="000000"/>
        </w:rPr>
        <w:t>24 hour</w:t>
      </w:r>
      <w:proofErr w:type="gramEnd"/>
      <w:r>
        <w:rPr>
          <w:rFonts w:ascii="Times New Roman" w:eastAsia="Times New Roman" w:hAnsi="Times New Roman" w:cs="Times New Roman"/>
          <w:color w:val="000000"/>
        </w:rPr>
        <w:t xml:space="preserve"> window and the decision thresholds used to judge feasibility were fixed before the corresponding analyses were run and are recorded in the project repository. The research question was, however, refined during </w:t>
      </w:r>
      <w:proofErr w:type="gramStart"/>
      <w:r>
        <w:rPr>
          <w:rFonts w:ascii="Times New Roman" w:eastAsia="Times New Roman" w:hAnsi="Times New Roman" w:cs="Times New Roman"/>
          <w:color w:val="000000"/>
        </w:rPr>
        <w:t>exploratory</w:t>
      </w:r>
      <w:proofErr w:type="gramEnd"/>
      <w:r>
        <w:rPr>
          <w:rFonts w:ascii="Times New Roman" w:eastAsia="Times New Roman" w:hAnsi="Times New Roman" w:cs="Times New Roman"/>
          <w:color w:val="000000"/>
        </w:rPr>
        <w:t xml:space="preserve"> work. An initial framing around malignancy was abandoned when malignancy proved to contribute nothing to prediction, and the benchmarking framing was adopted after preliminary calibration results had been seen. Readers should weigh the findings accordingly. The confirmatory analyses reported here, namely the weighted comparison of limitation quintiles and the ranking comparison, were specified before they were run.</w:t>
      </w:r>
    </w:p>
    <w:p w14:paraId="3542FB78"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Availability of data and material.</w:t>
      </w:r>
      <w:r>
        <w:rPr>
          <w:rFonts w:ascii="Times New Roman" w:eastAsia="Times New Roman" w:hAnsi="Times New Roman" w:cs="Times New Roman"/>
          <w:color w:val="000000"/>
        </w:rPr>
        <w:t xml:space="preserve"> The </w:t>
      </w:r>
      <w:proofErr w:type="spellStart"/>
      <w:r>
        <w:rPr>
          <w:rFonts w:ascii="Times New Roman" w:eastAsia="Times New Roman" w:hAnsi="Times New Roman" w:cs="Times New Roman"/>
          <w:color w:val="000000"/>
        </w:rPr>
        <w:t>eICU</w:t>
      </w:r>
      <w:proofErr w:type="spellEnd"/>
      <w:r>
        <w:rPr>
          <w:rFonts w:ascii="Times New Roman" w:eastAsia="Times New Roman" w:hAnsi="Times New Roman" w:cs="Times New Roman"/>
          <w:color w:val="000000"/>
        </w:rPr>
        <w:t xml:space="preserve"> Collaborative Research Database version 2.0 is available to credentialed investigators from PhysioNet at https://physionet.org/content/eicu-crd/2.0/. Access requires completion of human </w:t>
      </w:r>
      <w:proofErr w:type="gramStart"/>
      <w:r>
        <w:rPr>
          <w:rFonts w:ascii="Times New Roman" w:eastAsia="Times New Roman" w:hAnsi="Times New Roman" w:cs="Times New Roman"/>
          <w:color w:val="000000"/>
        </w:rPr>
        <w:t>subjects</w:t>
      </w:r>
      <w:proofErr w:type="gramEnd"/>
      <w:r>
        <w:rPr>
          <w:rFonts w:ascii="Times New Roman" w:eastAsia="Times New Roman" w:hAnsi="Times New Roman" w:cs="Times New Roman"/>
          <w:color w:val="000000"/>
        </w:rPr>
        <w:t xml:space="preserve"> research training and execution of a data use agreement that prohibits redistribution, so patient level data cannot be shared by the author. Investigators who complete credentialing can reproduce the analytic dataset exactly using the extraction query in the repository. Unit level aggregate results, including the per unit limitation rates, standardized mortality ratios and ranking data underlying Figures 3 and 4, are provided as supplementary files and contain no patient level information.</w:t>
      </w:r>
    </w:p>
    <w:p w14:paraId="65B5FCA3"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Code availability.</w:t>
      </w:r>
      <w:r>
        <w:rPr>
          <w:rFonts w:ascii="Times New Roman" w:eastAsia="Times New Roman" w:hAnsi="Times New Roman" w:cs="Times New Roman"/>
          <w:color w:val="000000"/>
        </w:rPr>
        <w:t xml:space="preserve"> The full analysis pipeline is publicly available at [repository URL to be inserted at submission], released under the MIT License. It covers cohort extraction, the ordered limitation classification, calibration assessment, inverse probability weighting, the unit ranking comparison, and all table and figure generation. Analyses used R 4.6.0. The repository records the decision thresholds that were fixed in advance, together with a record of the deviations described under protocol registration.</w:t>
      </w:r>
    </w:p>
    <w:p w14:paraId="11A9F573"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Author contributions.</w:t>
      </w:r>
      <w:r>
        <w:rPr>
          <w:rFonts w:ascii="Times New Roman" w:eastAsia="Times New Roman" w:hAnsi="Times New Roman" w:cs="Times New Roman"/>
          <w:color w:val="000000"/>
        </w:rPr>
        <w:t xml:space="preserve"> F.T.N. conceived the study, designed the analysis, performed the data extraction and statistical analysis, generated the figures and tables, and wrote the manuscript.</w:t>
      </w:r>
    </w:p>
    <w:p w14:paraId="4039F666" w14:textId="77777777" w:rsidR="006920B6" w:rsidRDefault="00000000">
      <w:pPr>
        <w:pBdr>
          <w:top w:val="none" w:sz="0" w:space="0" w:color="000000"/>
          <w:left w:val="none" w:sz="0" w:space="0" w:color="000000"/>
          <w:bottom w:val="none" w:sz="0" w:space="0" w:color="000000"/>
          <w:right w:val="none" w:sz="0" w:space="0" w:color="000000"/>
        </w:pBdr>
        <w:spacing w:after="120" w:line="276" w:lineRule="auto"/>
        <w:jc w:val="both"/>
      </w:pPr>
      <w:r>
        <w:rPr>
          <w:rFonts w:ascii="Times New Roman" w:eastAsia="Times New Roman" w:hAnsi="Times New Roman" w:cs="Times New Roman"/>
          <w:b/>
          <w:color w:val="000000"/>
        </w:rPr>
        <w:t>Acknowledgements.</w:t>
      </w:r>
      <w:r>
        <w:rPr>
          <w:rFonts w:ascii="Times New Roman" w:eastAsia="Times New Roman" w:hAnsi="Times New Roman" w:cs="Times New Roman"/>
          <w:color w:val="000000"/>
        </w:rPr>
        <w:t xml:space="preserve"> The author thanks the MIT Laboratory for Computational Physiology and Philips Healthcare for developing and maintaining the </w:t>
      </w:r>
      <w:proofErr w:type="spellStart"/>
      <w:r>
        <w:rPr>
          <w:rFonts w:ascii="Times New Roman" w:eastAsia="Times New Roman" w:hAnsi="Times New Roman" w:cs="Times New Roman"/>
          <w:color w:val="000000"/>
        </w:rPr>
        <w:t>eICU</w:t>
      </w:r>
      <w:proofErr w:type="spellEnd"/>
      <w:r>
        <w:rPr>
          <w:rFonts w:ascii="Times New Roman" w:eastAsia="Times New Roman" w:hAnsi="Times New Roman" w:cs="Times New Roman"/>
          <w:color w:val="000000"/>
        </w:rPr>
        <w:t xml:space="preserve"> Collaborative Research Database, and PhysioNet for hosting it.</w:t>
      </w:r>
    </w:p>
    <w:p w14:paraId="0AAE74AF" w14:textId="77777777" w:rsidR="006920B6" w:rsidRDefault="00000000">
      <w:r>
        <w:br w:type="page"/>
      </w:r>
    </w:p>
    <w:p w14:paraId="61BF17F1"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color w:val="000000"/>
          <w:sz w:val="26"/>
          <w:szCs w:val="26"/>
        </w:rPr>
        <w:lastRenderedPageBreak/>
        <w:t>Tables</w:t>
      </w:r>
    </w:p>
    <w:p w14:paraId="7B06657E" w14:textId="77777777" w:rsidR="006920B6" w:rsidRDefault="00000000">
      <w:pPr>
        <w:pBdr>
          <w:top w:val="none" w:sz="0" w:space="0" w:color="000000"/>
          <w:left w:val="none" w:sz="0" w:space="0" w:color="000000"/>
          <w:bottom w:val="none" w:sz="0" w:space="0" w:color="000000"/>
          <w:right w:val="none" w:sz="0" w:space="0" w:color="000000"/>
        </w:pBdr>
        <w:spacing w:before="80" w:after="200"/>
      </w:pPr>
      <w:r>
        <w:rPr>
          <w:rFonts w:ascii="Times New Roman" w:eastAsia="Times New Roman" w:hAnsi="Times New Roman" w:cs="Times New Roman"/>
          <w:b/>
          <w:color w:val="000000"/>
          <w:sz w:val="20"/>
          <w:szCs w:val="20"/>
        </w:rPr>
        <w:t>Table 1.</w:t>
      </w:r>
      <w:r>
        <w:rPr>
          <w:rFonts w:ascii="Times New Roman" w:eastAsia="Times New Roman" w:hAnsi="Times New Roman" w:cs="Times New Roman"/>
          <w:color w:val="000000"/>
          <w:sz w:val="20"/>
          <w:szCs w:val="20"/>
        </w:rPr>
        <w:t xml:space="preserve"> Characteristics of 136,236 intensive care admissions by treatment limitation status within 24 hours.</w:t>
      </w:r>
    </w:p>
    <w:tbl>
      <w:tblPr>
        <w:tblW w:w="0" w:type="auto"/>
        <w:jc w:val="center"/>
        <w:tblLayout w:type="fixed"/>
        <w:tblLook w:val="0420" w:firstRow="1" w:lastRow="0" w:firstColumn="0" w:lastColumn="0" w:noHBand="0" w:noVBand="1"/>
      </w:tblPr>
      <w:tblGrid>
        <w:gridCol w:w="3744"/>
        <w:gridCol w:w="1325"/>
        <w:gridCol w:w="1325"/>
        <w:gridCol w:w="1325"/>
        <w:gridCol w:w="1325"/>
        <w:gridCol w:w="1325"/>
      </w:tblGrid>
      <w:tr w:rsidR="006920B6" w14:paraId="27E564E9" w14:textId="77777777">
        <w:trPr>
          <w:tblHeader/>
          <w:jc w:val="center"/>
        </w:trPr>
        <w:tc>
          <w:tcPr>
            <w:tcW w:w="374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F70970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Characteristic</w:t>
            </w:r>
          </w:p>
        </w:tc>
        <w:tc>
          <w:tcPr>
            <w:tcW w:w="1325"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5E8B95"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Full therapy</w:t>
            </w:r>
          </w:p>
        </w:tc>
        <w:tc>
          <w:tcPr>
            <w:tcW w:w="1325"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F1DBB2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DNR type</w:t>
            </w:r>
          </w:p>
        </w:tc>
        <w:tc>
          <w:tcPr>
            <w:tcW w:w="1325"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A0BF54"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Partial withdrawal</w:t>
            </w:r>
          </w:p>
        </w:tc>
        <w:tc>
          <w:tcPr>
            <w:tcW w:w="1325"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D8A0E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Comfort measures</w:t>
            </w:r>
          </w:p>
        </w:tc>
        <w:tc>
          <w:tcPr>
            <w:tcW w:w="1325"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A292C4"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Undocumented</w:t>
            </w:r>
          </w:p>
        </w:tc>
      </w:tr>
      <w:tr w:rsidR="006920B6" w14:paraId="2AB123B5" w14:textId="77777777">
        <w:trPr>
          <w:trHeight w:hRule="exact" w:val="346"/>
          <w:jc w:val="center"/>
        </w:trPr>
        <w:tc>
          <w:tcPr>
            <w:tcW w:w="374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D144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Stays, n</w:t>
            </w:r>
          </w:p>
        </w:tc>
        <w:tc>
          <w:tcPr>
            <w:tcW w:w="132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025F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117,377.00</w:t>
            </w:r>
          </w:p>
        </w:tc>
        <w:tc>
          <w:tcPr>
            <w:tcW w:w="132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D285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11,929.00</w:t>
            </w:r>
          </w:p>
        </w:tc>
        <w:tc>
          <w:tcPr>
            <w:tcW w:w="132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20AAC"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689.00</w:t>
            </w:r>
          </w:p>
        </w:tc>
        <w:tc>
          <w:tcPr>
            <w:tcW w:w="132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01344"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878.00</w:t>
            </w:r>
          </w:p>
        </w:tc>
        <w:tc>
          <w:tcPr>
            <w:tcW w:w="132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00D0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5,363.00</w:t>
            </w:r>
          </w:p>
        </w:tc>
      </w:tr>
      <w:tr w:rsidR="006920B6" w14:paraId="0CBF64A6"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39FE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Percent of cohort</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985B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86.20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C2E9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4915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9078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1C99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3.90</w:t>
            </w:r>
          </w:p>
        </w:tc>
      </w:tr>
      <w:tr w:rsidR="006920B6" w14:paraId="033F0BF9"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4F00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Age, median years</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8E71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63.00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6B0E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77.00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C78E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76.00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66B7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492C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64.00</w:t>
            </w:r>
          </w:p>
        </w:tc>
      </w:tr>
      <w:tr w:rsidR="006920B6" w14:paraId="5D31DE1C"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B0DB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Age over 89, %</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A49E0"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F4C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15.60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B97C4"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9FE64"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13.80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1010C"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3.90</w:t>
            </w:r>
          </w:p>
        </w:tc>
      </w:tr>
      <w:tr w:rsidR="006920B6" w14:paraId="0F37D0A8"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2AD3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Female, %</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BF70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45.10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10F3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54.10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200A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55.90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1008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50.50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E3BC5"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45.00</w:t>
            </w:r>
          </w:p>
        </w:tc>
      </w:tr>
      <w:tr w:rsidR="006920B6" w14:paraId="0CBFAAF8"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C850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APACHE </w:t>
            </w:r>
            <w:proofErr w:type="spellStart"/>
            <w:r>
              <w:rPr>
                <w:rFonts w:ascii="Times New Roman" w:eastAsia="Times New Roman" w:hAnsi="Times New Roman" w:cs="Times New Roman"/>
                <w:color w:val="000000"/>
                <w:sz w:val="18"/>
                <w:szCs w:val="18"/>
              </w:rPr>
              <w:t>IVa</w:t>
            </w:r>
            <w:proofErr w:type="spellEnd"/>
            <w:r>
              <w:rPr>
                <w:rFonts w:ascii="Times New Roman" w:eastAsia="Times New Roman" w:hAnsi="Times New Roman" w:cs="Times New Roman"/>
                <w:color w:val="000000"/>
                <w:sz w:val="18"/>
                <w:szCs w:val="18"/>
              </w:rPr>
              <w:t xml:space="preserve"> score, median</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8997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432F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66.00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D5C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69.00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9D9CF"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85.00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59B9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50.00</w:t>
            </w:r>
          </w:p>
        </w:tc>
      </w:tr>
      <w:tr w:rsidR="006920B6" w14:paraId="19290622"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EAE7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Predicted mortality, %</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87BF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8F0BF"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22.30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C1C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26.20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FBD6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39.60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C96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11.20</w:t>
            </w:r>
          </w:p>
        </w:tc>
      </w:tr>
      <w:tr w:rsidR="006920B6" w14:paraId="15A8981E"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D0E48"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Observed mortality, %</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C86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9247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26.10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9441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31.90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63C8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74.10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C47B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8.80</w:t>
            </w:r>
          </w:p>
        </w:tc>
      </w:tr>
      <w:tr w:rsidR="006920B6" w14:paraId="47A546D8"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07FF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Standardized mortality ratio</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9914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0.62</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812E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A499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1.22</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6E52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1.87</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0D55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w:t>
            </w:r>
          </w:p>
        </w:tc>
      </w:tr>
      <w:tr w:rsidR="006920B6" w14:paraId="1793964D"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B96F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Malignancy, %</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AB0E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0A85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5F99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4678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55C5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1.90</w:t>
            </w:r>
          </w:p>
        </w:tc>
      </w:tr>
      <w:tr w:rsidR="006920B6" w14:paraId="079D12FA"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9B9A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Immunosuppression, %</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3FF8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FB3C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380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04B9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6.00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1169C"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1.60</w:t>
            </w:r>
          </w:p>
        </w:tc>
      </w:tr>
      <w:tr w:rsidR="006920B6" w14:paraId="001018EC" w14:textId="77777777">
        <w:trPr>
          <w:trHeight w:hRule="exact" w:val="346"/>
          <w:jc w:val="center"/>
        </w:trPr>
        <w:tc>
          <w:tcPr>
            <w:tcW w:w="37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DAC0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Ventilated day 1, %</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E730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23.60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EF4B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29.30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F290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32.50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61138"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45.80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F47B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19.30</w:t>
            </w:r>
          </w:p>
        </w:tc>
      </w:tr>
      <w:tr w:rsidR="006920B6" w14:paraId="2869CDC4" w14:textId="77777777">
        <w:trPr>
          <w:trHeight w:hRule="exact" w:val="346"/>
          <w:jc w:val="center"/>
        </w:trPr>
        <w:tc>
          <w:tcPr>
            <w:tcW w:w="374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498C17F"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ICU stay, median hours</w:t>
            </w:r>
          </w:p>
        </w:tc>
        <w:tc>
          <w:tcPr>
            <w:tcW w:w="13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43DB9C"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43.20</w:t>
            </w:r>
          </w:p>
        </w:tc>
        <w:tc>
          <w:tcPr>
            <w:tcW w:w="13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4CD93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43.10</w:t>
            </w:r>
          </w:p>
        </w:tc>
        <w:tc>
          <w:tcPr>
            <w:tcW w:w="13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34F54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36.30</w:t>
            </w:r>
          </w:p>
        </w:tc>
        <w:tc>
          <w:tcPr>
            <w:tcW w:w="13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B1B14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18.20</w:t>
            </w:r>
          </w:p>
        </w:tc>
        <w:tc>
          <w:tcPr>
            <w:tcW w:w="13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E9E10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43.10</w:t>
            </w:r>
          </w:p>
        </w:tc>
      </w:tr>
      <w:tr w:rsidR="006920B6" w14:paraId="059440B6" w14:textId="77777777">
        <w:trPr>
          <w:jc w:val="center"/>
        </w:trPr>
        <w:tc>
          <w:tcPr>
            <w:tcW w:w="10369" w:type="dxa"/>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07A00E" w14:textId="77777777" w:rsidR="006920B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APACHE denotes Acute Physiology and Chronic Health Evaluation. Malignancy denotes metastatic solid tumor or hematologic malignancy.</w:t>
            </w:r>
          </w:p>
        </w:tc>
      </w:tr>
    </w:tbl>
    <w:p w14:paraId="238330E7" w14:textId="77777777" w:rsidR="006920B6" w:rsidRDefault="00000000">
      <w:r>
        <w:br w:type="page"/>
      </w:r>
    </w:p>
    <w:p w14:paraId="7AF7DCE4" w14:textId="77777777" w:rsidR="006920B6" w:rsidRDefault="00000000">
      <w:pPr>
        <w:pBdr>
          <w:top w:val="none" w:sz="0" w:space="0" w:color="000000"/>
          <w:left w:val="none" w:sz="0" w:space="0" w:color="000000"/>
          <w:bottom w:val="none" w:sz="0" w:space="0" w:color="000000"/>
          <w:right w:val="none" w:sz="0" w:space="0" w:color="000000"/>
        </w:pBdr>
        <w:spacing w:before="80" w:after="200"/>
      </w:pPr>
      <w:r>
        <w:rPr>
          <w:rFonts w:ascii="Times New Roman" w:eastAsia="Times New Roman" w:hAnsi="Times New Roman" w:cs="Times New Roman"/>
          <w:b/>
          <w:color w:val="000000"/>
          <w:sz w:val="20"/>
          <w:szCs w:val="20"/>
        </w:rPr>
        <w:lastRenderedPageBreak/>
        <w:t>Table 2.</w:t>
      </w:r>
      <w:r>
        <w:rPr>
          <w:rFonts w:ascii="Times New Roman" w:eastAsia="Times New Roman" w:hAnsi="Times New Roman" w:cs="Times New Roman"/>
          <w:color w:val="000000"/>
          <w:sz w:val="20"/>
          <w:szCs w:val="20"/>
        </w:rPr>
        <w:t xml:space="preserve"> APACHE </w:t>
      </w:r>
      <w:proofErr w:type="spellStart"/>
      <w:r>
        <w:rPr>
          <w:rFonts w:ascii="Times New Roman" w:eastAsia="Times New Roman" w:hAnsi="Times New Roman" w:cs="Times New Roman"/>
          <w:color w:val="000000"/>
          <w:sz w:val="20"/>
          <w:szCs w:val="20"/>
        </w:rPr>
        <w:t>IVa</w:t>
      </w:r>
      <w:proofErr w:type="spellEnd"/>
      <w:r>
        <w:rPr>
          <w:rFonts w:ascii="Times New Roman" w:eastAsia="Times New Roman" w:hAnsi="Times New Roman" w:cs="Times New Roman"/>
          <w:color w:val="000000"/>
          <w:sz w:val="20"/>
          <w:szCs w:val="20"/>
        </w:rPr>
        <w:t xml:space="preserve"> calibration by treatment limitation status.</w:t>
      </w:r>
    </w:p>
    <w:tbl>
      <w:tblPr>
        <w:tblW w:w="0" w:type="auto"/>
        <w:jc w:val="center"/>
        <w:tblLayout w:type="fixed"/>
        <w:tblLook w:val="0420" w:firstRow="1" w:lastRow="0" w:firstColumn="0" w:lastColumn="0" w:noHBand="0" w:noVBand="1"/>
      </w:tblPr>
      <w:tblGrid>
        <w:gridCol w:w="2880"/>
        <w:gridCol w:w="1224"/>
        <w:gridCol w:w="1224"/>
        <w:gridCol w:w="1224"/>
        <w:gridCol w:w="1224"/>
        <w:gridCol w:w="1224"/>
        <w:gridCol w:w="1224"/>
      </w:tblGrid>
      <w:tr w:rsidR="006920B6" w14:paraId="0AF4A0B0" w14:textId="77777777">
        <w:trPr>
          <w:tblHeader/>
          <w:jc w:val="center"/>
        </w:trPr>
        <w:tc>
          <w:tcPr>
            <w:tcW w:w="2880"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E201E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Code status</w:t>
            </w:r>
          </w:p>
        </w:tc>
        <w:tc>
          <w:tcPr>
            <w:tcW w:w="122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66FC420"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w:t>
            </w:r>
          </w:p>
        </w:tc>
        <w:tc>
          <w:tcPr>
            <w:tcW w:w="122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8C3C4DC"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Predicted, %</w:t>
            </w:r>
          </w:p>
        </w:tc>
        <w:tc>
          <w:tcPr>
            <w:tcW w:w="122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63FF7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Observed, %</w:t>
            </w:r>
          </w:p>
        </w:tc>
        <w:tc>
          <w:tcPr>
            <w:tcW w:w="122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4C666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SMR</w:t>
            </w:r>
          </w:p>
        </w:tc>
        <w:tc>
          <w:tcPr>
            <w:tcW w:w="122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A004B50"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ICI</w:t>
            </w:r>
          </w:p>
        </w:tc>
        <w:tc>
          <w:tcPr>
            <w:tcW w:w="122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8561F1F"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Emax</w:t>
            </w:r>
          </w:p>
        </w:tc>
      </w:tr>
      <w:tr w:rsidR="006920B6" w14:paraId="04F06CF3" w14:textId="77777777">
        <w:trPr>
          <w:trHeight w:hRule="exact" w:val="346"/>
          <w:jc w:val="center"/>
        </w:trPr>
        <w:tc>
          <w:tcPr>
            <w:tcW w:w="288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52AC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Full therapy</w:t>
            </w:r>
          </w:p>
        </w:tc>
        <w:tc>
          <w:tcPr>
            <w:tcW w:w="122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7AA0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117,377</w:t>
            </w:r>
          </w:p>
        </w:tc>
        <w:tc>
          <w:tcPr>
            <w:tcW w:w="122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39BA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w:t>
            </w:r>
          </w:p>
        </w:tc>
        <w:tc>
          <w:tcPr>
            <w:tcW w:w="122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8055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w:t>
            </w:r>
          </w:p>
        </w:tc>
        <w:tc>
          <w:tcPr>
            <w:tcW w:w="122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22EC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0.62</w:t>
            </w:r>
          </w:p>
        </w:tc>
        <w:tc>
          <w:tcPr>
            <w:tcW w:w="122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A57E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0.039</w:t>
            </w:r>
          </w:p>
        </w:tc>
        <w:tc>
          <w:tcPr>
            <w:tcW w:w="122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ADBD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0.241</w:t>
            </w:r>
          </w:p>
        </w:tc>
      </w:tr>
      <w:tr w:rsidR="006920B6" w14:paraId="4AC38534" w14:textId="77777777">
        <w:trPr>
          <w:trHeight w:hRule="exact" w:val="346"/>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04F5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DNR type</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084C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11,929</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039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22.3</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382F"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26.1</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54C0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3548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0.037</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FB084"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0.048</w:t>
            </w:r>
          </w:p>
        </w:tc>
      </w:tr>
      <w:tr w:rsidR="006920B6" w14:paraId="3DA8EF0F" w14:textId="77777777">
        <w:trPr>
          <w:trHeight w:hRule="exact" w:val="346"/>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A0025"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Partial withdrawal</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66A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689</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20A8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26.2</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9AC70"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31.9</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919A8"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1.22</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A1B20"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0.057</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F4CF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0.078</w:t>
            </w:r>
          </w:p>
        </w:tc>
      </w:tr>
      <w:tr w:rsidR="006920B6" w14:paraId="5163992A" w14:textId="77777777">
        <w:trPr>
          <w:trHeight w:hRule="exact" w:val="346"/>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7DD0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Comfort measures</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63EF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878</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9534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39.6</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CBFAF"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74.1</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25DD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1.87</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6BC9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0.342</w:t>
            </w:r>
          </w:p>
        </w:tc>
        <w:tc>
          <w:tcPr>
            <w:tcW w:w="12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E1BF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0.487</w:t>
            </w:r>
          </w:p>
        </w:tc>
      </w:tr>
      <w:tr w:rsidR="006920B6" w14:paraId="4EE7846B" w14:textId="77777777">
        <w:trPr>
          <w:trHeight w:hRule="exact" w:val="346"/>
          <w:jc w:val="center"/>
        </w:trPr>
        <w:tc>
          <w:tcPr>
            <w:tcW w:w="28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4F7B034"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Undocumented</w:t>
            </w:r>
          </w:p>
        </w:tc>
        <w:tc>
          <w:tcPr>
            <w:tcW w:w="12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2FB3D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5,363</w:t>
            </w:r>
          </w:p>
        </w:tc>
        <w:tc>
          <w:tcPr>
            <w:tcW w:w="12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12861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11.2</w:t>
            </w:r>
          </w:p>
        </w:tc>
        <w:tc>
          <w:tcPr>
            <w:tcW w:w="12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AECB12"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w:t>
            </w:r>
          </w:p>
        </w:tc>
        <w:tc>
          <w:tcPr>
            <w:tcW w:w="12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3B1132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w:t>
            </w:r>
          </w:p>
        </w:tc>
        <w:tc>
          <w:tcPr>
            <w:tcW w:w="12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39BAE8"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0.022</w:t>
            </w:r>
          </w:p>
        </w:tc>
        <w:tc>
          <w:tcPr>
            <w:tcW w:w="12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C41F0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0.125</w:t>
            </w:r>
          </w:p>
        </w:tc>
      </w:tr>
      <w:tr w:rsidR="006920B6" w14:paraId="1D2FF5FA" w14:textId="77777777">
        <w:trPr>
          <w:jc w:val="center"/>
        </w:trPr>
        <w:tc>
          <w:tcPr>
            <w:tcW w:w="10224"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CFE925" w14:textId="77777777" w:rsidR="006920B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SMR denotes standardized mortality ratio. ICI denotes integrated calibration index. Emax denotes maximum absolute calibration error.</w:t>
            </w:r>
          </w:p>
        </w:tc>
      </w:tr>
    </w:tbl>
    <w:p w14:paraId="53FC40E0" w14:textId="77777777" w:rsidR="006920B6" w:rsidRDefault="00000000">
      <w:r>
        <w:br w:type="page"/>
      </w:r>
    </w:p>
    <w:p w14:paraId="0F51AF0A" w14:textId="77777777" w:rsidR="006920B6" w:rsidRDefault="00000000">
      <w:pPr>
        <w:pBdr>
          <w:top w:val="none" w:sz="0" w:space="0" w:color="000000"/>
          <w:left w:val="none" w:sz="0" w:space="0" w:color="000000"/>
          <w:bottom w:val="none" w:sz="0" w:space="0" w:color="000000"/>
          <w:right w:val="none" w:sz="0" w:space="0" w:color="000000"/>
        </w:pBdr>
        <w:spacing w:before="80" w:after="200"/>
      </w:pPr>
      <w:r>
        <w:rPr>
          <w:rFonts w:ascii="Times New Roman" w:eastAsia="Times New Roman" w:hAnsi="Times New Roman" w:cs="Times New Roman"/>
          <w:b/>
          <w:color w:val="000000"/>
          <w:sz w:val="20"/>
          <w:szCs w:val="20"/>
        </w:rPr>
        <w:lastRenderedPageBreak/>
        <w:t>Table 3.</w:t>
      </w:r>
      <w:r>
        <w:rPr>
          <w:rFonts w:ascii="Times New Roman" w:eastAsia="Times New Roman" w:hAnsi="Times New Roman" w:cs="Times New Roman"/>
          <w:color w:val="000000"/>
          <w:sz w:val="20"/>
          <w:szCs w:val="20"/>
        </w:rPr>
        <w:t xml:space="preserve"> Comparison of remediation strategies.</w:t>
      </w:r>
    </w:p>
    <w:tbl>
      <w:tblPr>
        <w:tblW w:w="0" w:type="auto"/>
        <w:jc w:val="center"/>
        <w:tblLayout w:type="fixed"/>
        <w:tblLook w:val="0420" w:firstRow="1" w:lastRow="0" w:firstColumn="0" w:lastColumn="0" w:noHBand="0" w:noVBand="1"/>
      </w:tblPr>
      <w:tblGrid>
        <w:gridCol w:w="3456"/>
        <w:gridCol w:w="1944"/>
        <w:gridCol w:w="1944"/>
        <w:gridCol w:w="1944"/>
      </w:tblGrid>
      <w:tr w:rsidR="006920B6" w14:paraId="48780F06" w14:textId="77777777">
        <w:trPr>
          <w:tblHeader/>
          <w:jc w:val="center"/>
        </w:trPr>
        <w:tc>
          <w:tcPr>
            <w:tcW w:w="3456"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B4C80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Strategy</w:t>
            </w:r>
          </w:p>
        </w:tc>
        <w:tc>
          <w:tcPr>
            <w:tcW w:w="194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16BAE7B"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Admissions affected</w:t>
            </w:r>
          </w:p>
        </w:tc>
        <w:tc>
          <w:tcPr>
            <w:tcW w:w="194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118604"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Units changing quartile</w:t>
            </w:r>
          </w:p>
        </w:tc>
        <w:tc>
          <w:tcPr>
            <w:tcW w:w="1944" w:type="dxa"/>
            <w:tcBorders>
              <w:top w:val="single" w:sz="8"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4F1F7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Correlation with current</w:t>
            </w:r>
          </w:p>
        </w:tc>
      </w:tr>
      <w:tr w:rsidR="006920B6" w14:paraId="7BE0E399" w14:textId="77777777">
        <w:trPr>
          <w:trHeight w:hRule="exact" w:val="346"/>
          <w:jc w:val="center"/>
        </w:trPr>
        <w:tc>
          <w:tcPr>
            <w:tcW w:w="345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5228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Current practice, APACHE </w:t>
            </w:r>
            <w:proofErr w:type="spellStart"/>
            <w:r>
              <w:rPr>
                <w:rFonts w:ascii="Times New Roman" w:eastAsia="Times New Roman" w:hAnsi="Times New Roman" w:cs="Times New Roman"/>
                <w:color w:val="000000"/>
                <w:sz w:val="18"/>
                <w:szCs w:val="18"/>
              </w:rPr>
              <w:t>IVa</w:t>
            </w:r>
            <w:proofErr w:type="spellEnd"/>
            <w:r>
              <w:rPr>
                <w:rFonts w:ascii="Times New Roman" w:eastAsia="Times New Roman" w:hAnsi="Times New Roman" w:cs="Times New Roman"/>
                <w:color w:val="000000"/>
                <w:sz w:val="18"/>
                <w:szCs w:val="18"/>
              </w:rPr>
              <w:t xml:space="preserve"> alone</w:t>
            </w:r>
          </w:p>
        </w:tc>
        <w:tc>
          <w:tcPr>
            <w:tcW w:w="194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AB4F1"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w:t>
            </w:r>
          </w:p>
        </w:tc>
        <w:tc>
          <w:tcPr>
            <w:tcW w:w="194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C4CD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reference</w:t>
            </w:r>
          </w:p>
        </w:tc>
        <w:tc>
          <w:tcPr>
            <w:tcW w:w="194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D361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1.000</w:t>
            </w:r>
          </w:p>
        </w:tc>
      </w:tr>
      <w:tr w:rsidR="006920B6" w14:paraId="2A4867B2" w14:textId="77777777">
        <w:trPr>
          <w:trHeight w:hRule="exact" w:val="346"/>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85D37"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Adjust for limitation status</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CF1E6"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90C8D"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 (23.5%)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34AC5"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0.949</w:t>
            </w:r>
          </w:p>
        </w:tc>
      </w:tr>
      <w:tr w:rsidR="006920B6" w14:paraId="73186FA0" w14:textId="77777777">
        <w:trPr>
          <w:trHeight w:hRule="exact" w:val="346"/>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EE25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Exclude comfort measures only</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0DA8"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878 (0.6%)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BDA3E"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 (11.1%)</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0722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0.986</w:t>
            </w:r>
          </w:p>
        </w:tc>
      </w:tr>
      <w:tr w:rsidR="006920B6" w14:paraId="4EFFA6ED" w14:textId="77777777">
        <w:trPr>
          <w:trHeight w:hRule="exact" w:val="346"/>
          <w:jc w:val="center"/>
        </w:trPr>
        <w:tc>
          <w:tcPr>
            <w:tcW w:w="34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7F3A1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Exclude any limitation</w:t>
            </w:r>
          </w:p>
        </w:tc>
        <w:tc>
          <w:tcPr>
            <w:tcW w:w="194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E3A293"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13,496 (9.9%)</w:t>
            </w:r>
          </w:p>
        </w:tc>
        <w:tc>
          <w:tcPr>
            <w:tcW w:w="194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E0B9AA"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46 (28.4%)</w:t>
            </w:r>
          </w:p>
        </w:tc>
        <w:tc>
          <w:tcPr>
            <w:tcW w:w="194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3FADE9" w14:textId="77777777" w:rsidR="006920B6"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0.878</w:t>
            </w:r>
          </w:p>
        </w:tc>
      </w:tr>
      <w:tr w:rsidR="006920B6" w14:paraId="45F7DD75" w14:textId="77777777">
        <w:trPr>
          <w:jc w:val="center"/>
        </w:trPr>
        <w:tc>
          <w:tcPr>
            <w:tcW w:w="9288"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B39F6D" w14:textId="77777777" w:rsidR="006920B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Correlation is the Spearman rank correlation of standardized mortality ratios against current practice.</w:t>
            </w:r>
          </w:p>
        </w:tc>
      </w:tr>
    </w:tbl>
    <w:p w14:paraId="50F7A892" w14:textId="77777777" w:rsidR="006920B6" w:rsidRDefault="00000000">
      <w:r>
        <w:br w:type="page"/>
      </w:r>
    </w:p>
    <w:p w14:paraId="480AC56D"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color w:val="000000"/>
          <w:sz w:val="26"/>
          <w:szCs w:val="26"/>
        </w:rPr>
        <w:lastRenderedPageBreak/>
        <w:t>Figures</w:t>
      </w:r>
    </w:p>
    <w:p w14:paraId="6044BF03" w14:textId="77777777" w:rsidR="006920B6" w:rsidRDefault="00000000">
      <w:pPr>
        <w:pStyle w:val="centered"/>
      </w:pPr>
      <w:r>
        <w:rPr>
          <w:noProof/>
        </w:rPr>
        <w:drawing>
          <wp:inline distT="0" distB="0" distL="0" distR="0" wp14:anchorId="3DBBE5B9" wp14:editId="6C68B369">
            <wp:extent cx="5943600" cy="3503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3503596"/>
                    </a:xfrm>
                    <a:prstGeom prst="rect">
                      <a:avLst/>
                    </a:prstGeom>
                    <a:noFill/>
                  </pic:spPr>
                </pic:pic>
              </a:graphicData>
            </a:graphic>
          </wp:inline>
        </w:drawing>
      </w:r>
    </w:p>
    <w:p w14:paraId="4860BCD1" w14:textId="77777777" w:rsidR="006920B6" w:rsidRDefault="00000000">
      <w:pPr>
        <w:pBdr>
          <w:top w:val="none" w:sz="0" w:space="0" w:color="000000"/>
          <w:left w:val="none" w:sz="0" w:space="0" w:color="000000"/>
          <w:bottom w:val="none" w:sz="0" w:space="0" w:color="000000"/>
          <w:right w:val="none" w:sz="0" w:space="0" w:color="000000"/>
        </w:pBdr>
        <w:spacing w:before="80" w:after="200"/>
      </w:pPr>
      <w:r>
        <w:rPr>
          <w:rFonts w:ascii="Times New Roman" w:eastAsia="Times New Roman" w:hAnsi="Times New Roman" w:cs="Times New Roman"/>
          <w:b/>
          <w:color w:val="000000"/>
          <w:sz w:val="20"/>
          <w:szCs w:val="20"/>
        </w:rPr>
        <w:t>Figure 1.</w:t>
      </w:r>
      <w:r>
        <w:rPr>
          <w:rFonts w:ascii="Times New Roman" w:eastAsia="Times New Roman" w:hAnsi="Times New Roman" w:cs="Times New Roman"/>
          <w:color w:val="000000"/>
          <w:sz w:val="20"/>
          <w:szCs w:val="20"/>
        </w:rPr>
        <w:t xml:space="preserve"> APACHE </w:t>
      </w:r>
      <w:proofErr w:type="spellStart"/>
      <w:r>
        <w:rPr>
          <w:rFonts w:ascii="Times New Roman" w:eastAsia="Times New Roman" w:hAnsi="Times New Roman" w:cs="Times New Roman"/>
          <w:color w:val="000000"/>
          <w:sz w:val="20"/>
          <w:szCs w:val="20"/>
        </w:rPr>
        <w:t>IVa</w:t>
      </w:r>
      <w:proofErr w:type="spellEnd"/>
      <w:r>
        <w:rPr>
          <w:rFonts w:ascii="Times New Roman" w:eastAsia="Times New Roman" w:hAnsi="Times New Roman" w:cs="Times New Roman"/>
          <w:color w:val="000000"/>
          <w:sz w:val="20"/>
          <w:szCs w:val="20"/>
        </w:rPr>
        <w:t xml:space="preserve"> performance by treatment limitation status. (A) Calibration curves. Points are 5 percent risk </w:t>
      </w:r>
      <w:proofErr w:type="gramStart"/>
      <w:r>
        <w:rPr>
          <w:rFonts w:ascii="Times New Roman" w:eastAsia="Times New Roman" w:hAnsi="Times New Roman" w:cs="Times New Roman"/>
          <w:color w:val="000000"/>
          <w:sz w:val="20"/>
          <w:szCs w:val="20"/>
        </w:rPr>
        <w:t>bins</w:t>
      </w:r>
      <w:proofErr w:type="gramEnd"/>
      <w:r>
        <w:rPr>
          <w:rFonts w:ascii="Times New Roman" w:eastAsia="Times New Roman" w:hAnsi="Times New Roman" w:cs="Times New Roman"/>
          <w:color w:val="000000"/>
          <w:sz w:val="20"/>
          <w:szCs w:val="20"/>
        </w:rPr>
        <w:t xml:space="preserve"> and the dashed line indicates perfect calibration. (B) Adjusted odds ratios for in hospital death from a logistic recalibration model, with full therapy as reference and standard errors clustered on unit.</w:t>
      </w:r>
    </w:p>
    <w:p w14:paraId="423878E4" w14:textId="77777777" w:rsidR="006920B6" w:rsidRDefault="00000000">
      <w:r>
        <w:br w:type="page"/>
      </w:r>
    </w:p>
    <w:p w14:paraId="0B8289F0" w14:textId="77777777" w:rsidR="006920B6" w:rsidRDefault="00000000">
      <w:pPr>
        <w:pStyle w:val="centered"/>
      </w:pPr>
      <w:r>
        <w:rPr>
          <w:noProof/>
        </w:rPr>
        <w:lastRenderedPageBreak/>
        <w:drawing>
          <wp:inline distT="0" distB="0" distL="0" distR="0" wp14:anchorId="07B7BA36" wp14:editId="2E6F4EDC">
            <wp:extent cx="5943600" cy="35035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503596"/>
                    </a:xfrm>
                    <a:prstGeom prst="rect">
                      <a:avLst/>
                    </a:prstGeom>
                    <a:noFill/>
                  </pic:spPr>
                </pic:pic>
              </a:graphicData>
            </a:graphic>
          </wp:inline>
        </w:drawing>
      </w:r>
    </w:p>
    <w:p w14:paraId="29F27E20" w14:textId="77777777" w:rsidR="006920B6" w:rsidRDefault="00000000">
      <w:pPr>
        <w:pBdr>
          <w:top w:val="none" w:sz="0" w:space="0" w:color="000000"/>
          <w:left w:val="none" w:sz="0" w:space="0" w:color="000000"/>
          <w:bottom w:val="none" w:sz="0" w:space="0" w:color="000000"/>
          <w:right w:val="none" w:sz="0" w:space="0" w:color="000000"/>
        </w:pBdr>
        <w:spacing w:before="80" w:after="200"/>
      </w:pPr>
      <w:r>
        <w:rPr>
          <w:rFonts w:ascii="Times New Roman" w:eastAsia="Times New Roman" w:hAnsi="Times New Roman" w:cs="Times New Roman"/>
          <w:b/>
          <w:color w:val="000000"/>
          <w:sz w:val="20"/>
          <w:szCs w:val="20"/>
        </w:rPr>
        <w:t>Figure 2.</w:t>
      </w:r>
      <w:r>
        <w:rPr>
          <w:rFonts w:ascii="Times New Roman" w:eastAsia="Times New Roman" w:hAnsi="Times New Roman" w:cs="Times New Roman"/>
          <w:color w:val="000000"/>
          <w:sz w:val="20"/>
          <w:szCs w:val="20"/>
        </w:rPr>
        <w:t xml:space="preserve"> Between unit variation in treatment limitation. (A) Limitation rate within 24 hours across 162 units with 100 or more admissions, ordered. (B) Standardized mean differences in patient characteristics between units in the highest and lowest limitation quintile, before and after inverse probability weighting.</w:t>
      </w:r>
    </w:p>
    <w:p w14:paraId="56DD6578" w14:textId="77777777" w:rsidR="006920B6" w:rsidRDefault="00000000">
      <w:r>
        <w:br w:type="page"/>
      </w:r>
    </w:p>
    <w:p w14:paraId="068A9041" w14:textId="77777777" w:rsidR="006920B6" w:rsidRDefault="00000000">
      <w:pPr>
        <w:pStyle w:val="centered"/>
      </w:pPr>
      <w:r>
        <w:rPr>
          <w:noProof/>
        </w:rPr>
        <w:lastRenderedPageBreak/>
        <w:drawing>
          <wp:inline distT="0" distB="0" distL="0" distR="0" wp14:anchorId="7F310BF5" wp14:editId="17A4C57F">
            <wp:extent cx="5943600" cy="33784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3378467"/>
                    </a:xfrm>
                    <a:prstGeom prst="rect">
                      <a:avLst/>
                    </a:prstGeom>
                    <a:noFill/>
                  </pic:spPr>
                </pic:pic>
              </a:graphicData>
            </a:graphic>
          </wp:inline>
        </w:drawing>
      </w:r>
    </w:p>
    <w:p w14:paraId="0CCCB10F" w14:textId="77777777" w:rsidR="006920B6" w:rsidRDefault="00000000">
      <w:pPr>
        <w:pBdr>
          <w:top w:val="none" w:sz="0" w:space="0" w:color="000000"/>
          <w:left w:val="none" w:sz="0" w:space="0" w:color="000000"/>
          <w:bottom w:val="none" w:sz="0" w:space="0" w:color="000000"/>
          <w:right w:val="none" w:sz="0" w:space="0" w:color="000000"/>
        </w:pBdr>
        <w:spacing w:before="80" w:after="200"/>
      </w:pPr>
      <w:r>
        <w:rPr>
          <w:rFonts w:ascii="Times New Roman" w:eastAsia="Times New Roman" w:hAnsi="Times New Roman" w:cs="Times New Roman"/>
          <w:b/>
          <w:color w:val="000000"/>
          <w:sz w:val="20"/>
          <w:szCs w:val="20"/>
        </w:rPr>
        <w:t>Figure 3.</w:t>
      </w:r>
      <w:r>
        <w:rPr>
          <w:rFonts w:ascii="Times New Roman" w:eastAsia="Times New Roman" w:hAnsi="Times New Roman" w:cs="Times New Roman"/>
          <w:color w:val="000000"/>
          <w:sz w:val="20"/>
          <w:szCs w:val="20"/>
        </w:rPr>
        <w:t xml:space="preserve"> Effect of modeling treatment limitation on unit benchmarking. (A) Change in unit rank against limitation rate. Negative values indicate improvement. (B) Funnel plots of standardized mortality ratio against expected deaths under current practice and with limitation modeled, with 95 and 99.8 percent exact Poisson control limits.</w:t>
      </w:r>
    </w:p>
    <w:p w14:paraId="23B13CB5" w14:textId="77777777" w:rsidR="006920B6" w:rsidRDefault="00000000">
      <w:r>
        <w:br w:type="page"/>
      </w:r>
    </w:p>
    <w:p w14:paraId="61729E54" w14:textId="77777777" w:rsidR="006920B6" w:rsidRDefault="00000000">
      <w:pPr>
        <w:pBdr>
          <w:top w:val="none" w:sz="0" w:space="0" w:color="000000"/>
          <w:left w:val="none" w:sz="0" w:space="0" w:color="000000"/>
          <w:bottom w:val="none" w:sz="0" w:space="0" w:color="000000"/>
          <w:right w:val="none" w:sz="0" w:space="0" w:color="000000"/>
        </w:pBdr>
        <w:spacing w:before="280" w:after="120" w:line="360" w:lineRule="auto"/>
      </w:pPr>
      <w:r>
        <w:rPr>
          <w:rFonts w:ascii="Times New Roman" w:eastAsia="Times New Roman" w:hAnsi="Times New Roman" w:cs="Times New Roman"/>
          <w:b/>
          <w:color w:val="000000"/>
          <w:sz w:val="26"/>
          <w:szCs w:val="26"/>
        </w:rPr>
        <w:lastRenderedPageBreak/>
        <w:t>References</w:t>
      </w:r>
    </w:p>
    <w:p w14:paraId="0530EDA9"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1. Mark NM, Rayner SG, Lee NJ, Curtis JR. Global variability in withholding and withdrawal of life-sustaining treatment in the intensive care unit: a systematic review. Intensive Care Med. 2015;41(9):1572-85.</w:t>
      </w:r>
    </w:p>
    <w:p w14:paraId="411A2A83"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 Avidan A, Sprung CL, </w:t>
      </w:r>
      <w:proofErr w:type="spellStart"/>
      <w:r>
        <w:rPr>
          <w:rFonts w:ascii="Times New Roman" w:eastAsia="Times New Roman" w:hAnsi="Times New Roman" w:cs="Times New Roman"/>
          <w:color w:val="000000"/>
        </w:rPr>
        <w:t>Schefold</w:t>
      </w:r>
      <w:proofErr w:type="spellEnd"/>
      <w:r>
        <w:rPr>
          <w:rFonts w:ascii="Times New Roman" w:eastAsia="Times New Roman" w:hAnsi="Times New Roman" w:cs="Times New Roman"/>
          <w:color w:val="000000"/>
        </w:rPr>
        <w:t xml:space="preserve"> JC, Ricou B, Hartog CS, Nates JL, </w:t>
      </w:r>
      <w:proofErr w:type="spellStart"/>
      <w:r>
        <w:rPr>
          <w:rFonts w:ascii="Times New Roman" w:eastAsia="Times New Roman" w:hAnsi="Times New Roman" w:cs="Times New Roman"/>
          <w:color w:val="000000"/>
        </w:rPr>
        <w:t>Jaschinski</w:t>
      </w:r>
      <w:proofErr w:type="spellEnd"/>
      <w:r>
        <w:rPr>
          <w:rFonts w:ascii="Times New Roman" w:eastAsia="Times New Roman" w:hAnsi="Times New Roman" w:cs="Times New Roman"/>
          <w:color w:val="000000"/>
        </w:rPr>
        <w:t xml:space="preserve"> U, Lobo SM, Joynt GM, Lesieur O, Weiss M, Antonelli M, Bülow HH, Bocci MG, Robertsen A, Anstey MH, </w:t>
      </w:r>
      <w:proofErr w:type="spellStart"/>
      <w:r>
        <w:rPr>
          <w:rFonts w:ascii="Times New Roman" w:eastAsia="Times New Roman" w:hAnsi="Times New Roman" w:cs="Times New Roman"/>
          <w:color w:val="000000"/>
        </w:rPr>
        <w:t>Estébanez</w:t>
      </w:r>
      <w:proofErr w:type="spellEnd"/>
      <w:r>
        <w:rPr>
          <w:rFonts w:ascii="Times New Roman" w:eastAsia="Times New Roman" w:hAnsi="Times New Roman" w:cs="Times New Roman"/>
          <w:color w:val="000000"/>
        </w:rPr>
        <w:t xml:space="preserve">-Montiel B, </w:t>
      </w:r>
      <w:proofErr w:type="spellStart"/>
      <w:r>
        <w:rPr>
          <w:rFonts w:ascii="Times New Roman" w:eastAsia="Times New Roman" w:hAnsi="Times New Roman" w:cs="Times New Roman"/>
          <w:color w:val="000000"/>
        </w:rPr>
        <w:t>Lautrette</w:t>
      </w:r>
      <w:proofErr w:type="spellEnd"/>
      <w:r>
        <w:rPr>
          <w:rFonts w:ascii="Times New Roman" w:eastAsia="Times New Roman" w:hAnsi="Times New Roman" w:cs="Times New Roman"/>
          <w:color w:val="000000"/>
        </w:rPr>
        <w:t xml:space="preserve"> A, Gruber A, Estella A, Mullick S, Sreedharan R, Michalsen A, Feldman C, </w:t>
      </w:r>
      <w:proofErr w:type="spellStart"/>
      <w:r>
        <w:rPr>
          <w:rFonts w:ascii="Times New Roman" w:eastAsia="Times New Roman" w:hAnsi="Times New Roman" w:cs="Times New Roman"/>
          <w:color w:val="000000"/>
        </w:rPr>
        <w:t>Tisljar</w:t>
      </w:r>
      <w:proofErr w:type="spellEnd"/>
      <w:r>
        <w:rPr>
          <w:rFonts w:ascii="Times New Roman" w:eastAsia="Times New Roman" w:hAnsi="Times New Roman" w:cs="Times New Roman"/>
          <w:color w:val="000000"/>
        </w:rPr>
        <w:t xml:space="preserve"> K, Posch M, </w:t>
      </w:r>
      <w:proofErr w:type="spellStart"/>
      <w:r>
        <w:rPr>
          <w:rFonts w:ascii="Times New Roman" w:eastAsia="Times New Roman" w:hAnsi="Times New Roman" w:cs="Times New Roman"/>
          <w:color w:val="000000"/>
        </w:rPr>
        <w:t>Ovu</w:t>
      </w:r>
      <w:proofErr w:type="spellEnd"/>
      <w:r>
        <w:rPr>
          <w:rFonts w:ascii="Times New Roman" w:eastAsia="Times New Roman" w:hAnsi="Times New Roman" w:cs="Times New Roman"/>
          <w:color w:val="000000"/>
        </w:rPr>
        <w:t xml:space="preserve"> S, </w:t>
      </w:r>
      <w:proofErr w:type="spellStart"/>
      <w:r>
        <w:rPr>
          <w:rFonts w:ascii="Times New Roman" w:eastAsia="Times New Roman" w:hAnsi="Times New Roman" w:cs="Times New Roman"/>
          <w:color w:val="000000"/>
        </w:rPr>
        <w:t>Tamowicz</w:t>
      </w:r>
      <w:proofErr w:type="spellEnd"/>
      <w:r>
        <w:rPr>
          <w:rFonts w:ascii="Times New Roman" w:eastAsia="Times New Roman" w:hAnsi="Times New Roman" w:cs="Times New Roman"/>
          <w:color w:val="000000"/>
        </w:rPr>
        <w:t xml:space="preserve"> B, </w:t>
      </w:r>
      <w:proofErr w:type="spellStart"/>
      <w:r>
        <w:rPr>
          <w:rFonts w:ascii="Times New Roman" w:eastAsia="Times New Roman" w:hAnsi="Times New Roman" w:cs="Times New Roman"/>
          <w:color w:val="000000"/>
        </w:rPr>
        <w:t>Demoule</w:t>
      </w:r>
      <w:proofErr w:type="spellEnd"/>
      <w:r>
        <w:rPr>
          <w:rFonts w:ascii="Times New Roman" w:eastAsia="Times New Roman" w:hAnsi="Times New Roman" w:cs="Times New Roman"/>
          <w:color w:val="000000"/>
        </w:rPr>
        <w:t xml:space="preserve"> A, DeKeyser Ganz F, </w:t>
      </w:r>
      <w:proofErr w:type="spellStart"/>
      <w:r>
        <w:rPr>
          <w:rFonts w:ascii="Times New Roman" w:eastAsia="Times New Roman" w:hAnsi="Times New Roman" w:cs="Times New Roman"/>
          <w:color w:val="000000"/>
        </w:rPr>
        <w:t>Pargger</w:t>
      </w:r>
      <w:proofErr w:type="spellEnd"/>
      <w:r>
        <w:rPr>
          <w:rFonts w:ascii="Times New Roman" w:eastAsia="Times New Roman" w:hAnsi="Times New Roman" w:cs="Times New Roman"/>
          <w:color w:val="000000"/>
        </w:rPr>
        <w:t xml:space="preserve"> H, Noto A, </w:t>
      </w:r>
      <w:proofErr w:type="spellStart"/>
      <w:r>
        <w:rPr>
          <w:rFonts w:ascii="Times New Roman" w:eastAsia="Times New Roman" w:hAnsi="Times New Roman" w:cs="Times New Roman"/>
          <w:color w:val="000000"/>
        </w:rPr>
        <w:t>Metnitz</w:t>
      </w:r>
      <w:proofErr w:type="spellEnd"/>
      <w:r>
        <w:rPr>
          <w:rFonts w:ascii="Times New Roman" w:eastAsia="Times New Roman" w:hAnsi="Times New Roman" w:cs="Times New Roman"/>
          <w:color w:val="000000"/>
        </w:rPr>
        <w:t xml:space="preserve"> P, Zubek L, de la Guardia V, Danbury CM, Szűcs O, Protti A, Filipe M, Simpson SQ, Green C, Giannini AM, Soliman IW, </w:t>
      </w:r>
      <w:proofErr w:type="spellStart"/>
      <w:r>
        <w:rPr>
          <w:rFonts w:ascii="Times New Roman" w:eastAsia="Times New Roman" w:hAnsi="Times New Roman" w:cs="Times New Roman"/>
          <w:color w:val="000000"/>
        </w:rPr>
        <w:t>Piras</w:t>
      </w:r>
      <w:proofErr w:type="spellEnd"/>
      <w:r>
        <w:rPr>
          <w:rFonts w:ascii="Times New Roman" w:eastAsia="Times New Roman" w:hAnsi="Times New Roman" w:cs="Times New Roman"/>
          <w:color w:val="000000"/>
        </w:rPr>
        <w:t xml:space="preserve"> C, Caser EB, Hache-</w:t>
      </w:r>
      <w:proofErr w:type="spellStart"/>
      <w:r>
        <w:rPr>
          <w:rFonts w:ascii="Times New Roman" w:eastAsia="Times New Roman" w:hAnsi="Times New Roman" w:cs="Times New Roman"/>
          <w:color w:val="000000"/>
        </w:rPr>
        <w:t>Marliere</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Mentzelopoulos</w:t>
      </w:r>
      <w:proofErr w:type="spellEnd"/>
      <w:r>
        <w:rPr>
          <w:rFonts w:ascii="Times New Roman" w:eastAsia="Times New Roman" w:hAnsi="Times New Roman" w:cs="Times New Roman"/>
          <w:color w:val="000000"/>
        </w:rPr>
        <w:t xml:space="preserve"> SD, ETHICUS-2 Study Group. Variations in end-of-life practices in intensive care units worldwide (Ethicus-2): a prospective observational study. Lancet Respir Med. 2021;9(10):1101-1110.</w:t>
      </w:r>
    </w:p>
    <w:p w14:paraId="23DDAD52"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3. Curtis JR, Engelberg RA, Teno JM. Understanding variability of end-of-life care in the ICU for the elderly. Intensive Care Med. 2017;43(1):94-96.</w:t>
      </w:r>
    </w:p>
    <w:p w14:paraId="0A4EF271"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4. Fong C, Kueh WL, Lew SJW, Ho BCH, Wong YL, Lau YH, Chia YW, Tan HL, Seet YHC, Siow WT, MacLaren G, Agrawal R, Lim TJ, Lim SL, Lim TW, Ho VK, Soh CR, Sewa DW, Loo CM, Khan FA, Tan CK, Gokhale RS, Siau C, Lim NLSH, Yim CF, Venkatachalam J, Venkatesan K, Chia NCH, Liew MF, Li G, Li L, Myat SM, Zena Z, Zhuo S, Yueh LL, Tan CSF, Ma J, Yeo SL, Chan YH, Phua J, for SICM-NICER group. Predictors and outcomes of withholding and withdrawal of life-sustaining treatments in intensive care units in Singapore: a multicenter observational study. J Intensive Care. 2024;12(1):13.</w:t>
      </w:r>
    </w:p>
    <w:p w14:paraId="11B78FC0"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5. </w:t>
      </w:r>
      <w:proofErr w:type="spellStart"/>
      <w:r>
        <w:rPr>
          <w:rFonts w:ascii="Times New Roman" w:eastAsia="Times New Roman" w:hAnsi="Times New Roman" w:cs="Times New Roman"/>
          <w:color w:val="000000"/>
        </w:rPr>
        <w:t>Barnato</w:t>
      </w:r>
      <w:proofErr w:type="spellEnd"/>
      <w:r>
        <w:rPr>
          <w:rFonts w:ascii="Times New Roman" w:eastAsia="Times New Roman" w:hAnsi="Times New Roman" w:cs="Times New Roman"/>
          <w:color w:val="000000"/>
        </w:rPr>
        <w:t xml:space="preserve"> AE, Tate JA, Rodriguez KL, Zickmund SL, Arnold RM. Norms of decision making in the ICU: a case study of two academic medical centers at the extremes of end-of-life treatment intensity. Intensive Care Med. 2012;38(11):1886-96.</w:t>
      </w:r>
    </w:p>
    <w:p w14:paraId="4A128327"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6. </w:t>
      </w:r>
      <w:proofErr w:type="spellStart"/>
      <w:r>
        <w:rPr>
          <w:rFonts w:ascii="Times New Roman" w:eastAsia="Times New Roman" w:hAnsi="Times New Roman" w:cs="Times New Roman"/>
          <w:color w:val="000000"/>
        </w:rPr>
        <w:t>Barnato</w:t>
      </w:r>
      <w:proofErr w:type="spellEnd"/>
      <w:r>
        <w:rPr>
          <w:rFonts w:ascii="Times New Roman" w:eastAsia="Times New Roman" w:hAnsi="Times New Roman" w:cs="Times New Roman"/>
          <w:color w:val="000000"/>
        </w:rPr>
        <w:t xml:space="preserve"> AE, Farrell MH, Chang CC, Lave JR, Roberts MS, Angus DC. Development and validation of hospital "end-of-life" treatment intensity measures. Med Care. 2009;47(10):1098-105.</w:t>
      </w:r>
    </w:p>
    <w:p w14:paraId="433E572B"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7. Hart JL, Harhay MO, Gabler NB, Ratcliffe SJ, Quill CM, Halpern SD. Variability Among US Intensive Care Units in Managing the Care of Patients Admitted </w:t>
      </w:r>
      <w:proofErr w:type="gramStart"/>
      <w:r>
        <w:rPr>
          <w:rFonts w:ascii="Times New Roman" w:eastAsia="Times New Roman" w:hAnsi="Times New Roman" w:cs="Times New Roman"/>
          <w:color w:val="000000"/>
        </w:rPr>
        <w:t>With</w:t>
      </w:r>
      <w:proofErr w:type="gramEnd"/>
      <w:r>
        <w:rPr>
          <w:rFonts w:ascii="Times New Roman" w:eastAsia="Times New Roman" w:hAnsi="Times New Roman" w:cs="Times New Roman"/>
          <w:color w:val="000000"/>
        </w:rPr>
        <w:t xml:space="preserve"> Preexisting Limits on Life-Sustaining Therapies. JAMA Intern Med. 2015;175(6):1019-26.</w:t>
      </w:r>
    </w:p>
    <w:p w14:paraId="49A2EAF5"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lastRenderedPageBreak/>
        <w:t xml:space="preserve">8. Asiri A, </w:t>
      </w:r>
      <w:proofErr w:type="spellStart"/>
      <w:r>
        <w:rPr>
          <w:rFonts w:ascii="Times New Roman" w:eastAsia="Times New Roman" w:hAnsi="Times New Roman" w:cs="Times New Roman"/>
          <w:color w:val="000000"/>
        </w:rPr>
        <w:t>Alenezi</w:t>
      </w:r>
      <w:proofErr w:type="spellEnd"/>
      <w:r>
        <w:rPr>
          <w:rFonts w:ascii="Times New Roman" w:eastAsia="Times New Roman" w:hAnsi="Times New Roman" w:cs="Times New Roman"/>
          <w:color w:val="000000"/>
        </w:rPr>
        <w:t xml:space="preserve"> FZ, Tamim H, Sadat M, Bin Humaid F, </w:t>
      </w:r>
      <w:proofErr w:type="spellStart"/>
      <w:r>
        <w:rPr>
          <w:rFonts w:ascii="Times New Roman" w:eastAsia="Times New Roman" w:hAnsi="Times New Roman" w:cs="Times New Roman"/>
          <w:color w:val="000000"/>
        </w:rPr>
        <w:t>AlWehaibi</w:t>
      </w:r>
      <w:proofErr w:type="spellEnd"/>
      <w:r>
        <w:rPr>
          <w:rFonts w:ascii="Times New Roman" w:eastAsia="Times New Roman" w:hAnsi="Times New Roman" w:cs="Times New Roman"/>
          <w:color w:val="000000"/>
        </w:rPr>
        <w:t xml:space="preserve"> W, Al-</w:t>
      </w:r>
      <w:proofErr w:type="spellStart"/>
      <w:r>
        <w:rPr>
          <w:rFonts w:ascii="Times New Roman" w:eastAsia="Times New Roman" w:hAnsi="Times New Roman" w:cs="Times New Roman"/>
          <w:color w:val="000000"/>
        </w:rPr>
        <w:t>Dorzi</w:t>
      </w:r>
      <w:proofErr w:type="spellEnd"/>
      <w:r>
        <w:rPr>
          <w:rFonts w:ascii="Times New Roman" w:eastAsia="Times New Roman" w:hAnsi="Times New Roman" w:cs="Times New Roman"/>
          <w:color w:val="000000"/>
        </w:rPr>
        <w:t xml:space="preserve"> HM, Alzoubi YA, Alanazi SA, Naidu B, Arabi YM. Practice and Predictors of Do-Not-Resuscitate Orders in a Tertiary-Care Intensive Care Unit in Saudi Arabia. Crit Care Res </w:t>
      </w:r>
      <w:proofErr w:type="spellStart"/>
      <w:r>
        <w:rPr>
          <w:rFonts w:ascii="Times New Roman" w:eastAsia="Times New Roman" w:hAnsi="Times New Roman" w:cs="Times New Roman"/>
          <w:color w:val="000000"/>
        </w:rPr>
        <w:t>Pract</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2024;2024:5516516</w:t>
      </w:r>
      <w:proofErr w:type="gramEnd"/>
      <w:r>
        <w:rPr>
          <w:rFonts w:ascii="Times New Roman" w:eastAsia="Times New Roman" w:hAnsi="Times New Roman" w:cs="Times New Roman"/>
          <w:color w:val="000000"/>
        </w:rPr>
        <w:t>.</w:t>
      </w:r>
    </w:p>
    <w:p w14:paraId="0A1C86C8"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9. Lee SI, Ju YR, Kang DH, Lee JE. Characteristics and outcomes of patients with do-not-resuscitate and physician orders for life-sustaining treatment in a medical intensive care unit: a retrospective cohort study. BMC </w:t>
      </w:r>
      <w:proofErr w:type="spellStart"/>
      <w:r>
        <w:rPr>
          <w:rFonts w:ascii="Times New Roman" w:eastAsia="Times New Roman" w:hAnsi="Times New Roman" w:cs="Times New Roman"/>
          <w:color w:val="000000"/>
        </w:rPr>
        <w:t>Palliat</w:t>
      </w:r>
      <w:proofErr w:type="spellEnd"/>
      <w:r>
        <w:rPr>
          <w:rFonts w:ascii="Times New Roman" w:eastAsia="Times New Roman" w:hAnsi="Times New Roman" w:cs="Times New Roman"/>
          <w:color w:val="000000"/>
        </w:rPr>
        <w:t xml:space="preserve"> Care. 2024;23(1):42.</w:t>
      </w:r>
    </w:p>
    <w:p w14:paraId="036B6EF7"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10. Ouyang DJ, Lief L, Russell D, Xu J, Berlin DA, Gentzler E, Su A, Cooper ZR, </w:t>
      </w:r>
      <w:proofErr w:type="spellStart"/>
      <w:r>
        <w:rPr>
          <w:rFonts w:ascii="Times New Roman" w:eastAsia="Times New Roman" w:hAnsi="Times New Roman" w:cs="Times New Roman"/>
          <w:color w:val="000000"/>
        </w:rPr>
        <w:t>Senglaub</w:t>
      </w:r>
      <w:proofErr w:type="spellEnd"/>
      <w:r>
        <w:rPr>
          <w:rFonts w:ascii="Times New Roman" w:eastAsia="Times New Roman" w:hAnsi="Times New Roman" w:cs="Times New Roman"/>
          <w:color w:val="000000"/>
        </w:rPr>
        <w:t xml:space="preserve"> SS, Maciejewski PK, </w:t>
      </w:r>
      <w:proofErr w:type="spellStart"/>
      <w:r>
        <w:rPr>
          <w:rFonts w:ascii="Times New Roman" w:eastAsia="Times New Roman" w:hAnsi="Times New Roman" w:cs="Times New Roman"/>
          <w:color w:val="000000"/>
        </w:rPr>
        <w:t>Prigerson</w:t>
      </w:r>
      <w:proofErr w:type="spellEnd"/>
      <w:r>
        <w:rPr>
          <w:rFonts w:ascii="Times New Roman" w:eastAsia="Times New Roman" w:hAnsi="Times New Roman" w:cs="Times New Roman"/>
          <w:color w:val="000000"/>
        </w:rPr>
        <w:t xml:space="preserve"> HG. Timing is everything: Early do-not-resuscitate orders in the intensive care unit and patient outcomes. </w:t>
      </w:r>
      <w:proofErr w:type="spellStart"/>
      <w:r>
        <w:rPr>
          <w:rFonts w:ascii="Times New Roman" w:eastAsia="Times New Roman" w:hAnsi="Times New Roman" w:cs="Times New Roman"/>
          <w:color w:val="000000"/>
        </w:rPr>
        <w:t>PLoS</w:t>
      </w:r>
      <w:proofErr w:type="spellEnd"/>
      <w:r>
        <w:rPr>
          <w:rFonts w:ascii="Times New Roman" w:eastAsia="Times New Roman" w:hAnsi="Times New Roman" w:cs="Times New Roman"/>
          <w:color w:val="000000"/>
        </w:rPr>
        <w:t xml:space="preserve"> One. 2020;15(2</w:t>
      </w:r>
      <w:proofErr w:type="gramStart"/>
      <w:r>
        <w:rPr>
          <w:rFonts w:ascii="Times New Roman" w:eastAsia="Times New Roman" w:hAnsi="Times New Roman" w:cs="Times New Roman"/>
          <w:color w:val="000000"/>
        </w:rPr>
        <w:t>):e</w:t>
      </w:r>
      <w:proofErr w:type="gramEnd"/>
      <w:r>
        <w:rPr>
          <w:rFonts w:ascii="Times New Roman" w:eastAsia="Times New Roman" w:hAnsi="Times New Roman" w:cs="Times New Roman"/>
          <w:color w:val="000000"/>
        </w:rPr>
        <w:t>0227971.</w:t>
      </w:r>
    </w:p>
    <w:p w14:paraId="4B8CB812"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11. Fuchs L, Anstey M, Feng M, Toledano R, Kogan S, Howell MD, Clardy P, Celi L, Talmor D, Novack V. Quantifying the Mortality Impact of Do-Not-Resuscitate Orders in the ICU. Crit Care Med. 2017;45(6):1019-1027.</w:t>
      </w:r>
    </w:p>
    <w:p w14:paraId="707E692C"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12. Patel K, </w:t>
      </w:r>
      <w:proofErr w:type="spellStart"/>
      <w:r>
        <w:rPr>
          <w:rFonts w:ascii="Times New Roman" w:eastAsia="Times New Roman" w:hAnsi="Times New Roman" w:cs="Times New Roman"/>
          <w:color w:val="000000"/>
        </w:rPr>
        <w:t>Sinvani</w:t>
      </w:r>
      <w:proofErr w:type="spellEnd"/>
      <w:r>
        <w:rPr>
          <w:rFonts w:ascii="Times New Roman" w:eastAsia="Times New Roman" w:hAnsi="Times New Roman" w:cs="Times New Roman"/>
          <w:color w:val="000000"/>
        </w:rPr>
        <w:t xml:space="preserve"> L, Patel V, Kozikowski A, </w:t>
      </w:r>
      <w:proofErr w:type="spellStart"/>
      <w:r>
        <w:rPr>
          <w:rFonts w:ascii="Times New Roman" w:eastAsia="Times New Roman" w:hAnsi="Times New Roman" w:cs="Times New Roman"/>
          <w:color w:val="000000"/>
        </w:rPr>
        <w:t>Smilios</w:t>
      </w:r>
      <w:proofErr w:type="spellEnd"/>
      <w:r>
        <w:rPr>
          <w:rFonts w:ascii="Times New Roman" w:eastAsia="Times New Roman" w:hAnsi="Times New Roman" w:cs="Times New Roman"/>
          <w:color w:val="000000"/>
        </w:rPr>
        <w:t xml:space="preserve"> C, Akerman M, </w:t>
      </w:r>
      <w:proofErr w:type="spellStart"/>
      <w:r>
        <w:rPr>
          <w:rFonts w:ascii="Times New Roman" w:eastAsia="Times New Roman" w:hAnsi="Times New Roman" w:cs="Times New Roman"/>
          <w:color w:val="000000"/>
        </w:rPr>
        <w:t>Kiszko</w:t>
      </w:r>
      <w:proofErr w:type="spellEnd"/>
      <w:r>
        <w:rPr>
          <w:rFonts w:ascii="Times New Roman" w:eastAsia="Times New Roman" w:hAnsi="Times New Roman" w:cs="Times New Roman"/>
          <w:color w:val="000000"/>
        </w:rPr>
        <w:t xml:space="preserve"> K, Maiti S, Hajizadeh N, Wolf-Klein G, </w:t>
      </w:r>
      <w:proofErr w:type="spellStart"/>
      <w:r>
        <w:rPr>
          <w:rFonts w:ascii="Times New Roman" w:eastAsia="Times New Roman" w:hAnsi="Times New Roman" w:cs="Times New Roman"/>
          <w:color w:val="000000"/>
        </w:rPr>
        <w:t>Pekmezaris</w:t>
      </w:r>
      <w:proofErr w:type="spellEnd"/>
      <w:r>
        <w:rPr>
          <w:rFonts w:ascii="Times New Roman" w:eastAsia="Times New Roman" w:hAnsi="Times New Roman" w:cs="Times New Roman"/>
          <w:color w:val="000000"/>
        </w:rPr>
        <w:t xml:space="preserve"> R. Do-Not-Resuscitate Orders in Older Adults During Hospitalization: A Propensity Score-Matched Analysis. J Am </w:t>
      </w:r>
      <w:proofErr w:type="spellStart"/>
      <w:r>
        <w:rPr>
          <w:rFonts w:ascii="Times New Roman" w:eastAsia="Times New Roman" w:hAnsi="Times New Roman" w:cs="Times New Roman"/>
          <w:color w:val="000000"/>
        </w:rPr>
        <w:t>Geriatr</w:t>
      </w:r>
      <w:proofErr w:type="spellEnd"/>
      <w:r>
        <w:rPr>
          <w:rFonts w:ascii="Times New Roman" w:eastAsia="Times New Roman" w:hAnsi="Times New Roman" w:cs="Times New Roman"/>
          <w:color w:val="000000"/>
        </w:rPr>
        <w:t xml:space="preserve"> Soc. 2018;66(5):924-929.</w:t>
      </w:r>
    </w:p>
    <w:p w14:paraId="3C95A6A2"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13. Driggers KE, Keenan LM, Alcover KC, Atkin M, Irby K, Kovacs M, McLawhorn MM, Mir-Kasimov M, </w:t>
      </w:r>
      <w:proofErr w:type="spellStart"/>
      <w:r>
        <w:rPr>
          <w:rFonts w:ascii="Times New Roman" w:eastAsia="Times New Roman" w:hAnsi="Times New Roman" w:cs="Times New Roman"/>
          <w:color w:val="000000"/>
        </w:rPr>
        <w:t>Sabbahi</w:t>
      </w:r>
      <w:proofErr w:type="spellEnd"/>
      <w:r>
        <w:rPr>
          <w:rFonts w:ascii="Times New Roman" w:eastAsia="Times New Roman" w:hAnsi="Times New Roman" w:cs="Times New Roman"/>
          <w:color w:val="000000"/>
        </w:rPr>
        <w:t xml:space="preserve"> WZ, Sellman J, Johnson LS. Unintended Consequences of Code Status in the Intensive Care Unit: What Happens After a Do-Not-Resuscitate Order Is Placed? A Retrospective Cohort Study. J </w:t>
      </w:r>
      <w:proofErr w:type="spellStart"/>
      <w:r>
        <w:rPr>
          <w:rFonts w:ascii="Times New Roman" w:eastAsia="Times New Roman" w:hAnsi="Times New Roman" w:cs="Times New Roman"/>
          <w:color w:val="000000"/>
        </w:rPr>
        <w:t>Palliat</w:t>
      </w:r>
      <w:proofErr w:type="spellEnd"/>
      <w:r>
        <w:rPr>
          <w:rFonts w:ascii="Times New Roman" w:eastAsia="Times New Roman" w:hAnsi="Times New Roman" w:cs="Times New Roman"/>
          <w:color w:val="000000"/>
        </w:rPr>
        <w:t xml:space="preserve"> Med. 2024;27(4):508-514.</w:t>
      </w:r>
    </w:p>
    <w:p w14:paraId="5426732F"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14. Knaus, William A, Draper, Elizabeth A, Wagner, Douglas P, Zimmerman, Jack E. APACHE II: a </w:t>
      </w:r>
      <w:proofErr w:type="gramStart"/>
      <w:r>
        <w:rPr>
          <w:rFonts w:ascii="Times New Roman" w:eastAsia="Times New Roman" w:hAnsi="Times New Roman" w:cs="Times New Roman"/>
          <w:color w:val="000000"/>
        </w:rPr>
        <w:t>severity of disease</w:t>
      </w:r>
      <w:proofErr w:type="gramEnd"/>
      <w:r>
        <w:rPr>
          <w:rFonts w:ascii="Times New Roman" w:eastAsia="Times New Roman" w:hAnsi="Times New Roman" w:cs="Times New Roman"/>
          <w:color w:val="000000"/>
        </w:rPr>
        <w:t xml:space="preserve"> classification system. Critical Care Medicine. 1985;13(10):818-829.</w:t>
      </w:r>
    </w:p>
    <w:p w14:paraId="621DC636"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15. Zimmerman JE, Kramer AA, McNair DS, Malila FM. Acute Physiology and Chronic Health Evaluation (APACHE) IV: hospital mortality assessment for today's critically ill patients. Crit Care Med. 2006;34(5):1297-310.</w:t>
      </w:r>
    </w:p>
    <w:p w14:paraId="2B49F44A"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16. Falcão ALE, Barros AGA, Bezerra AAM, Ferreira NL, </w:t>
      </w:r>
      <w:proofErr w:type="spellStart"/>
      <w:r>
        <w:rPr>
          <w:rFonts w:ascii="Times New Roman" w:eastAsia="Times New Roman" w:hAnsi="Times New Roman" w:cs="Times New Roman"/>
          <w:color w:val="000000"/>
        </w:rPr>
        <w:t>Logato</w:t>
      </w:r>
      <w:proofErr w:type="spellEnd"/>
      <w:r>
        <w:rPr>
          <w:rFonts w:ascii="Times New Roman" w:eastAsia="Times New Roman" w:hAnsi="Times New Roman" w:cs="Times New Roman"/>
          <w:color w:val="000000"/>
        </w:rPr>
        <w:t xml:space="preserve"> CM, Silva FP, do Monte ABFO, Tonella RM, de Figueiredo LC, Moreno R, </w:t>
      </w:r>
      <w:proofErr w:type="spellStart"/>
      <w:r>
        <w:rPr>
          <w:rFonts w:ascii="Times New Roman" w:eastAsia="Times New Roman" w:hAnsi="Times New Roman" w:cs="Times New Roman"/>
          <w:color w:val="000000"/>
        </w:rPr>
        <w:t>Dragosavac</w:t>
      </w:r>
      <w:proofErr w:type="spellEnd"/>
      <w:r>
        <w:rPr>
          <w:rFonts w:ascii="Times New Roman" w:eastAsia="Times New Roman" w:hAnsi="Times New Roman" w:cs="Times New Roman"/>
          <w:color w:val="000000"/>
        </w:rPr>
        <w:t xml:space="preserve"> D, </w:t>
      </w:r>
      <w:proofErr w:type="spellStart"/>
      <w:r>
        <w:rPr>
          <w:rFonts w:ascii="Times New Roman" w:eastAsia="Times New Roman" w:hAnsi="Times New Roman" w:cs="Times New Roman"/>
          <w:color w:val="000000"/>
        </w:rPr>
        <w:t>Andreollo</w:t>
      </w:r>
      <w:proofErr w:type="spellEnd"/>
      <w:r>
        <w:rPr>
          <w:rFonts w:ascii="Times New Roman" w:eastAsia="Times New Roman" w:hAnsi="Times New Roman" w:cs="Times New Roman"/>
          <w:color w:val="000000"/>
        </w:rPr>
        <w:t xml:space="preserve"> NA. The prognostic accuracy evaluation of SAPS 3, SOFA and APACHE II scores for mortality prediction in the surgical ICU: an external validation study and decision-making analysis. Ann Intensive Care. 2019;9(1):18.</w:t>
      </w:r>
    </w:p>
    <w:p w14:paraId="4F2D7939"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lastRenderedPageBreak/>
        <w:t xml:space="preserve">17. Moralez GM, Rabello LSCF, Lisboa TC, Lima MDFA, </w:t>
      </w:r>
      <w:proofErr w:type="spellStart"/>
      <w:r>
        <w:rPr>
          <w:rFonts w:ascii="Times New Roman" w:eastAsia="Times New Roman" w:hAnsi="Times New Roman" w:cs="Times New Roman"/>
          <w:color w:val="000000"/>
        </w:rPr>
        <w:t>Hatum</w:t>
      </w:r>
      <w:proofErr w:type="spellEnd"/>
      <w:r>
        <w:rPr>
          <w:rFonts w:ascii="Times New Roman" w:eastAsia="Times New Roman" w:hAnsi="Times New Roman" w:cs="Times New Roman"/>
          <w:color w:val="000000"/>
        </w:rPr>
        <w:t xml:space="preserve"> RM, De Marco FVC, Alves A, Pinto JEDSS, de Araújo HBN, Ramos GV, Silva AR, Fernandes GC, Faria GBA, Mendes CL, Ramos Filho RÁ, de Souza VP, do </w:t>
      </w:r>
      <w:proofErr w:type="spellStart"/>
      <w:r>
        <w:rPr>
          <w:rFonts w:ascii="Times New Roman" w:eastAsia="Times New Roman" w:hAnsi="Times New Roman" w:cs="Times New Roman"/>
          <w:color w:val="000000"/>
        </w:rPr>
        <w:t>Brasil</w:t>
      </w:r>
      <w:proofErr w:type="spellEnd"/>
      <w:r>
        <w:rPr>
          <w:rFonts w:ascii="Times New Roman" w:eastAsia="Times New Roman" w:hAnsi="Times New Roman" w:cs="Times New Roman"/>
          <w:color w:val="000000"/>
        </w:rPr>
        <w:t xml:space="preserve"> PEAA, Bozza FA, </w:t>
      </w:r>
      <w:proofErr w:type="spellStart"/>
      <w:r>
        <w:rPr>
          <w:rFonts w:ascii="Times New Roman" w:eastAsia="Times New Roman" w:hAnsi="Times New Roman" w:cs="Times New Roman"/>
          <w:color w:val="000000"/>
        </w:rPr>
        <w:t>Salluh</w:t>
      </w:r>
      <w:proofErr w:type="spellEnd"/>
      <w:r>
        <w:rPr>
          <w:rFonts w:ascii="Times New Roman" w:eastAsia="Times New Roman" w:hAnsi="Times New Roman" w:cs="Times New Roman"/>
          <w:color w:val="000000"/>
        </w:rPr>
        <w:t xml:space="preserve"> JIF, Soares M, ORCHESTRA Study Investigators. External validation of SAPS 3 and </w:t>
      </w:r>
      <w:proofErr w:type="gramStart"/>
      <w:r>
        <w:rPr>
          <w:rFonts w:ascii="Times New Roman" w:eastAsia="Times New Roman" w:hAnsi="Times New Roman" w:cs="Times New Roman"/>
          <w:color w:val="000000"/>
        </w:rPr>
        <w:t>MPM(</w:t>
      </w:r>
      <w:proofErr w:type="gramEnd"/>
      <w:r>
        <w:rPr>
          <w:rFonts w:ascii="Times New Roman" w:eastAsia="Times New Roman" w:hAnsi="Times New Roman" w:cs="Times New Roman"/>
          <w:color w:val="000000"/>
        </w:rPr>
        <w:t>0)-III scores in 48,816 patients from 72 Brazilian ICUs. Ann Intensive Care. 2017;7(1):53.</w:t>
      </w:r>
    </w:p>
    <w:p w14:paraId="1E905E58"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18. Soares M, </w:t>
      </w:r>
      <w:proofErr w:type="spellStart"/>
      <w:r>
        <w:rPr>
          <w:rFonts w:ascii="Times New Roman" w:eastAsia="Times New Roman" w:hAnsi="Times New Roman" w:cs="Times New Roman"/>
          <w:color w:val="000000"/>
        </w:rPr>
        <w:t>Dongelmans</w:t>
      </w:r>
      <w:proofErr w:type="spellEnd"/>
      <w:r>
        <w:rPr>
          <w:rFonts w:ascii="Times New Roman" w:eastAsia="Times New Roman" w:hAnsi="Times New Roman" w:cs="Times New Roman"/>
          <w:color w:val="000000"/>
        </w:rPr>
        <w:t xml:space="preserve"> DA. Why should we not use APACHE II for performance measurement and </w:t>
      </w:r>
      <w:proofErr w:type="gramStart"/>
      <w:r>
        <w:rPr>
          <w:rFonts w:ascii="Times New Roman" w:eastAsia="Times New Roman" w:hAnsi="Times New Roman" w:cs="Times New Roman"/>
          <w:color w:val="000000"/>
        </w:rPr>
        <w:t>benchmarking?.</w:t>
      </w:r>
      <w:proofErr w:type="gramEnd"/>
      <w:r>
        <w:rPr>
          <w:rFonts w:ascii="Times New Roman" w:eastAsia="Times New Roman" w:hAnsi="Times New Roman" w:cs="Times New Roman"/>
          <w:color w:val="000000"/>
        </w:rPr>
        <w:t xml:space="preserve"> Rev Bras Ter </w:t>
      </w:r>
      <w:proofErr w:type="spellStart"/>
      <w:r>
        <w:rPr>
          <w:rFonts w:ascii="Times New Roman" w:eastAsia="Times New Roman" w:hAnsi="Times New Roman" w:cs="Times New Roman"/>
          <w:color w:val="000000"/>
        </w:rPr>
        <w:t>Intensiva</w:t>
      </w:r>
      <w:proofErr w:type="spellEnd"/>
      <w:r>
        <w:rPr>
          <w:rFonts w:ascii="Times New Roman" w:eastAsia="Times New Roman" w:hAnsi="Times New Roman" w:cs="Times New Roman"/>
          <w:color w:val="000000"/>
        </w:rPr>
        <w:t>. 2017;29(3):268-270.</w:t>
      </w:r>
    </w:p>
    <w:p w14:paraId="23801942"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19. Bennett CE, Wright RS, </w:t>
      </w:r>
      <w:proofErr w:type="spellStart"/>
      <w:r>
        <w:rPr>
          <w:rFonts w:ascii="Times New Roman" w:eastAsia="Times New Roman" w:hAnsi="Times New Roman" w:cs="Times New Roman"/>
          <w:color w:val="000000"/>
        </w:rPr>
        <w:t>Jentzer</w:t>
      </w:r>
      <w:proofErr w:type="spellEnd"/>
      <w:r>
        <w:rPr>
          <w:rFonts w:ascii="Times New Roman" w:eastAsia="Times New Roman" w:hAnsi="Times New Roman" w:cs="Times New Roman"/>
          <w:color w:val="000000"/>
        </w:rPr>
        <w:t xml:space="preserve"> J, Gajic O, Murphree DH, Murphy JG, Mankad SV, Wiley BM, Bell MR, Barsness GW. Severity of illness assessment with application of the APACHE IV predicted mortality and outcome trends analysis in an academic cardiac intensive care unit. J Crit Care. </w:t>
      </w:r>
      <w:proofErr w:type="gramStart"/>
      <w:r>
        <w:rPr>
          <w:rFonts w:ascii="Times New Roman" w:eastAsia="Times New Roman" w:hAnsi="Times New Roman" w:cs="Times New Roman"/>
          <w:color w:val="000000"/>
        </w:rPr>
        <w:t>2019;50:242</w:t>
      </w:r>
      <w:proofErr w:type="gramEnd"/>
      <w:r>
        <w:rPr>
          <w:rFonts w:ascii="Times New Roman" w:eastAsia="Times New Roman" w:hAnsi="Times New Roman" w:cs="Times New Roman"/>
          <w:color w:val="000000"/>
        </w:rPr>
        <w:t>-246.</w:t>
      </w:r>
    </w:p>
    <w:p w14:paraId="0455B0CD"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20. Sarkar R, Martin C, Mattie H, </w:t>
      </w:r>
      <w:proofErr w:type="spellStart"/>
      <w:r>
        <w:rPr>
          <w:rFonts w:ascii="Times New Roman" w:eastAsia="Times New Roman" w:hAnsi="Times New Roman" w:cs="Times New Roman"/>
          <w:color w:val="000000"/>
        </w:rPr>
        <w:t>Gichoya</w:t>
      </w:r>
      <w:proofErr w:type="spellEnd"/>
      <w:r>
        <w:rPr>
          <w:rFonts w:ascii="Times New Roman" w:eastAsia="Times New Roman" w:hAnsi="Times New Roman" w:cs="Times New Roman"/>
          <w:color w:val="000000"/>
        </w:rPr>
        <w:t xml:space="preserve"> JW, Stone DJ, Celi LA. Performance of intensive care unit severity scoring systems across different ethnicities in the USA: a retrospective observational study. Lancet Digit Health. 2021;3(4</w:t>
      </w:r>
      <w:proofErr w:type="gramStart"/>
      <w:r>
        <w:rPr>
          <w:rFonts w:ascii="Times New Roman" w:eastAsia="Times New Roman" w:hAnsi="Times New Roman" w:cs="Times New Roman"/>
          <w:color w:val="000000"/>
        </w:rPr>
        <w:t>):e</w:t>
      </w:r>
      <w:proofErr w:type="gramEnd"/>
      <w:r>
        <w:rPr>
          <w:rFonts w:ascii="Times New Roman" w:eastAsia="Times New Roman" w:hAnsi="Times New Roman" w:cs="Times New Roman"/>
          <w:color w:val="000000"/>
        </w:rPr>
        <w:t>241-e249.</w:t>
      </w:r>
    </w:p>
    <w:p w14:paraId="666C684F"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21. Glance LG, Osler TM, Dick A. Rating the quality of intensive care units: is it a function of the intensive care unit scoring </w:t>
      </w:r>
      <w:proofErr w:type="gramStart"/>
      <w:r>
        <w:rPr>
          <w:rFonts w:ascii="Times New Roman" w:eastAsia="Times New Roman" w:hAnsi="Times New Roman" w:cs="Times New Roman"/>
          <w:color w:val="000000"/>
        </w:rPr>
        <w:t>system?.</w:t>
      </w:r>
      <w:proofErr w:type="gramEnd"/>
      <w:r>
        <w:rPr>
          <w:rFonts w:ascii="Times New Roman" w:eastAsia="Times New Roman" w:hAnsi="Times New Roman" w:cs="Times New Roman"/>
          <w:color w:val="000000"/>
        </w:rPr>
        <w:t xml:space="preserve"> Crit Care Med. 2002;30(9):1976-82.</w:t>
      </w:r>
    </w:p>
    <w:p w14:paraId="67EA959C"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22. Kramer AA, Higgins TL, Zimmerman JE. Comparing observed and predicted mortality among ICUs using different prognostic systems: why do performance assessments </w:t>
      </w:r>
      <w:proofErr w:type="gramStart"/>
      <w:r>
        <w:rPr>
          <w:rFonts w:ascii="Times New Roman" w:eastAsia="Times New Roman" w:hAnsi="Times New Roman" w:cs="Times New Roman"/>
          <w:color w:val="000000"/>
        </w:rPr>
        <w:t>differ?.</w:t>
      </w:r>
      <w:proofErr w:type="gramEnd"/>
      <w:r>
        <w:rPr>
          <w:rFonts w:ascii="Times New Roman" w:eastAsia="Times New Roman" w:hAnsi="Times New Roman" w:cs="Times New Roman"/>
          <w:color w:val="000000"/>
        </w:rPr>
        <w:t xml:space="preserve"> Crit Care Med. 2015;43(2):261-9.</w:t>
      </w:r>
    </w:p>
    <w:p w14:paraId="2D7A65A1"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23. Barbash IJ, Le TQ, Pike F, </w:t>
      </w:r>
      <w:proofErr w:type="spellStart"/>
      <w:r>
        <w:rPr>
          <w:rFonts w:ascii="Times New Roman" w:eastAsia="Times New Roman" w:hAnsi="Times New Roman" w:cs="Times New Roman"/>
          <w:color w:val="000000"/>
        </w:rPr>
        <w:t>Barnato</w:t>
      </w:r>
      <w:proofErr w:type="spellEnd"/>
      <w:r>
        <w:rPr>
          <w:rFonts w:ascii="Times New Roman" w:eastAsia="Times New Roman" w:hAnsi="Times New Roman" w:cs="Times New Roman"/>
          <w:color w:val="000000"/>
        </w:rPr>
        <w:t xml:space="preserve"> AE, Angus DC, Kahn JM. The Effect of Intensive Care Unit Admission Patterns on Mortality-based Critical Care Performance Measures. Ann Am </w:t>
      </w:r>
      <w:proofErr w:type="spellStart"/>
      <w:r>
        <w:rPr>
          <w:rFonts w:ascii="Times New Roman" w:eastAsia="Times New Roman" w:hAnsi="Times New Roman" w:cs="Times New Roman"/>
          <w:color w:val="000000"/>
        </w:rPr>
        <w:t>Thorac</w:t>
      </w:r>
      <w:proofErr w:type="spellEnd"/>
      <w:r>
        <w:rPr>
          <w:rFonts w:ascii="Times New Roman" w:eastAsia="Times New Roman" w:hAnsi="Times New Roman" w:cs="Times New Roman"/>
          <w:color w:val="000000"/>
        </w:rPr>
        <w:t xml:space="preserve"> Soc. 2016;13(6):877-86.</w:t>
      </w:r>
    </w:p>
    <w:p w14:paraId="4B9990CD"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24. </w:t>
      </w:r>
      <w:proofErr w:type="spellStart"/>
      <w:r>
        <w:rPr>
          <w:rFonts w:ascii="Times New Roman" w:eastAsia="Times New Roman" w:hAnsi="Times New Roman" w:cs="Times New Roman"/>
          <w:color w:val="000000"/>
        </w:rPr>
        <w:t>Dijkema</w:t>
      </w:r>
      <w:proofErr w:type="spellEnd"/>
      <w:r>
        <w:rPr>
          <w:rFonts w:ascii="Times New Roman" w:eastAsia="Times New Roman" w:hAnsi="Times New Roman" w:cs="Times New Roman"/>
          <w:color w:val="000000"/>
        </w:rPr>
        <w:t xml:space="preserve"> LM, </w:t>
      </w:r>
      <w:proofErr w:type="spellStart"/>
      <w:r>
        <w:rPr>
          <w:rFonts w:ascii="Times New Roman" w:eastAsia="Times New Roman" w:hAnsi="Times New Roman" w:cs="Times New Roman"/>
          <w:color w:val="000000"/>
        </w:rPr>
        <w:t>Dieperink</w:t>
      </w:r>
      <w:proofErr w:type="spellEnd"/>
      <w:r>
        <w:rPr>
          <w:rFonts w:ascii="Times New Roman" w:eastAsia="Times New Roman" w:hAnsi="Times New Roman" w:cs="Times New Roman"/>
          <w:color w:val="000000"/>
        </w:rPr>
        <w:t xml:space="preserve"> W, van Meurs M, Zijlstra JG. Preventable mortality evaluation in the ICU. Crit Care. 2012;16(2):309.</w:t>
      </w:r>
    </w:p>
    <w:p w14:paraId="5D54F4F8"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25. Ray M, Zhao S, Wang S, Bohl A, Romano PS. Improving hospital quality risk-adjustment models using interactions identified by hierarchical group lasso </w:t>
      </w:r>
      <w:proofErr w:type="spellStart"/>
      <w:r>
        <w:rPr>
          <w:rFonts w:ascii="Times New Roman" w:eastAsia="Times New Roman" w:hAnsi="Times New Roman" w:cs="Times New Roman"/>
          <w:color w:val="000000"/>
        </w:rPr>
        <w:t>regularisation</w:t>
      </w:r>
      <w:proofErr w:type="spellEnd"/>
      <w:r>
        <w:rPr>
          <w:rFonts w:ascii="Times New Roman" w:eastAsia="Times New Roman" w:hAnsi="Times New Roman" w:cs="Times New Roman"/>
          <w:color w:val="000000"/>
        </w:rPr>
        <w:t>. BMC Health Serv Res. 2023;23(1):1419.</w:t>
      </w:r>
    </w:p>
    <w:p w14:paraId="1F46A889"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26. Liang Y, Jiang X, Zhang B. Evaluating Risk-Adjusted Hospital Performance Using Large-Scale Data on Mortality Rates of Patients in Intensive Care Units: A Flexible Semi-Nonparametric Modeling Approach. IEEE J </w:t>
      </w:r>
      <w:proofErr w:type="spellStart"/>
      <w:r>
        <w:rPr>
          <w:rFonts w:ascii="Times New Roman" w:eastAsia="Times New Roman" w:hAnsi="Times New Roman" w:cs="Times New Roman"/>
          <w:color w:val="000000"/>
        </w:rPr>
        <w:t>Transl</w:t>
      </w:r>
      <w:proofErr w:type="spellEnd"/>
      <w:r>
        <w:rPr>
          <w:rFonts w:ascii="Times New Roman" w:eastAsia="Times New Roman" w:hAnsi="Times New Roman" w:cs="Times New Roman"/>
          <w:color w:val="000000"/>
        </w:rPr>
        <w:t xml:space="preserve"> Eng Health Med. </w:t>
      </w:r>
      <w:proofErr w:type="gramStart"/>
      <w:r>
        <w:rPr>
          <w:rFonts w:ascii="Times New Roman" w:eastAsia="Times New Roman" w:hAnsi="Times New Roman" w:cs="Times New Roman"/>
          <w:color w:val="000000"/>
        </w:rPr>
        <w:t>2023;11:232</w:t>
      </w:r>
      <w:proofErr w:type="gramEnd"/>
      <w:r>
        <w:rPr>
          <w:rFonts w:ascii="Times New Roman" w:eastAsia="Times New Roman" w:hAnsi="Times New Roman" w:cs="Times New Roman"/>
          <w:color w:val="000000"/>
        </w:rPr>
        <w:t>-246.</w:t>
      </w:r>
    </w:p>
    <w:p w14:paraId="74BC4C75"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lastRenderedPageBreak/>
        <w:t xml:space="preserve">27. Prescott HC, Kadel RP, Eyman JR, Freyberg R, </w:t>
      </w:r>
      <w:proofErr w:type="spellStart"/>
      <w:r>
        <w:rPr>
          <w:rFonts w:ascii="Times New Roman" w:eastAsia="Times New Roman" w:hAnsi="Times New Roman" w:cs="Times New Roman"/>
          <w:color w:val="000000"/>
        </w:rPr>
        <w:t>Quarrick</w:t>
      </w:r>
      <w:proofErr w:type="spellEnd"/>
      <w:r>
        <w:rPr>
          <w:rFonts w:ascii="Times New Roman" w:eastAsia="Times New Roman" w:hAnsi="Times New Roman" w:cs="Times New Roman"/>
          <w:color w:val="000000"/>
        </w:rPr>
        <w:t xml:space="preserve"> M, Brewer D, Hasselbeck R. Risk-Adjusting Mortality in the Nationwide Veterans Affairs Healthcare System. J Gen Intern Med. 2022;37(15):3877-3884.</w:t>
      </w:r>
    </w:p>
    <w:p w14:paraId="76CE29A6"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28. </w:t>
      </w:r>
      <w:proofErr w:type="spellStart"/>
      <w:r>
        <w:rPr>
          <w:rFonts w:ascii="Times New Roman" w:eastAsia="Times New Roman" w:hAnsi="Times New Roman" w:cs="Times New Roman"/>
          <w:color w:val="000000"/>
        </w:rPr>
        <w:t>Barnato</w:t>
      </w:r>
      <w:proofErr w:type="spellEnd"/>
      <w:r>
        <w:rPr>
          <w:rFonts w:ascii="Times New Roman" w:eastAsia="Times New Roman" w:hAnsi="Times New Roman" w:cs="Times New Roman"/>
          <w:color w:val="000000"/>
        </w:rPr>
        <w:t xml:space="preserve"> AE, Mohan D, Lane RK, Huang YM, Angus DC, Farris C, Arnold RM. Advance care planning norms may contribute to hospital variation in end-of-life ICU use: a simulation study. Med </w:t>
      </w:r>
      <w:proofErr w:type="spellStart"/>
      <w:r>
        <w:rPr>
          <w:rFonts w:ascii="Times New Roman" w:eastAsia="Times New Roman" w:hAnsi="Times New Roman" w:cs="Times New Roman"/>
          <w:color w:val="000000"/>
        </w:rPr>
        <w:t>Decis</w:t>
      </w:r>
      <w:proofErr w:type="spellEnd"/>
      <w:r>
        <w:rPr>
          <w:rFonts w:ascii="Times New Roman" w:eastAsia="Times New Roman" w:hAnsi="Times New Roman" w:cs="Times New Roman"/>
          <w:color w:val="000000"/>
        </w:rPr>
        <w:t xml:space="preserve"> Making. 2014;34(4):473-84.</w:t>
      </w:r>
    </w:p>
    <w:p w14:paraId="5E20BCF7"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29. Feng S, Dubin JA. Identifying </w:t>
      </w:r>
      <w:proofErr w:type="gramStart"/>
      <w:r>
        <w:rPr>
          <w:rFonts w:ascii="Times New Roman" w:eastAsia="Times New Roman" w:hAnsi="Times New Roman" w:cs="Times New Roman"/>
          <w:color w:val="000000"/>
        </w:rPr>
        <w:t>early-measured</w:t>
      </w:r>
      <w:proofErr w:type="gramEnd"/>
      <w:r>
        <w:rPr>
          <w:rFonts w:ascii="Times New Roman" w:eastAsia="Times New Roman" w:hAnsi="Times New Roman" w:cs="Times New Roman"/>
          <w:color w:val="000000"/>
        </w:rPr>
        <w:t xml:space="preserve"> variables associated with APACHE </w:t>
      </w:r>
      <w:proofErr w:type="spellStart"/>
      <w:r>
        <w:rPr>
          <w:rFonts w:ascii="Times New Roman" w:eastAsia="Times New Roman" w:hAnsi="Times New Roman" w:cs="Times New Roman"/>
          <w:color w:val="000000"/>
        </w:rPr>
        <w:t>IVa</w:t>
      </w:r>
      <w:proofErr w:type="spellEnd"/>
      <w:r>
        <w:rPr>
          <w:rFonts w:ascii="Times New Roman" w:eastAsia="Times New Roman" w:hAnsi="Times New Roman" w:cs="Times New Roman"/>
          <w:color w:val="000000"/>
        </w:rPr>
        <w:t xml:space="preserve"> providing incorrect in-hospital mortality predictions for critical care patients. Sci Rep. 2021;11(1):22203.</w:t>
      </w:r>
    </w:p>
    <w:p w14:paraId="28FE2CB8"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30. Pollard TJ, Johnson AEW, Raffa JD, Celi LA, Mark RG, Badawi O. The </w:t>
      </w:r>
      <w:proofErr w:type="spellStart"/>
      <w:r>
        <w:rPr>
          <w:rFonts w:ascii="Times New Roman" w:eastAsia="Times New Roman" w:hAnsi="Times New Roman" w:cs="Times New Roman"/>
          <w:color w:val="000000"/>
        </w:rPr>
        <w:t>eICU</w:t>
      </w:r>
      <w:proofErr w:type="spellEnd"/>
      <w:r>
        <w:rPr>
          <w:rFonts w:ascii="Times New Roman" w:eastAsia="Times New Roman" w:hAnsi="Times New Roman" w:cs="Times New Roman"/>
          <w:color w:val="000000"/>
        </w:rPr>
        <w:t xml:space="preserve"> Collaborative Research Database, a freely available multi-center database for critical care research. Sci Data. </w:t>
      </w:r>
      <w:proofErr w:type="gramStart"/>
      <w:r>
        <w:rPr>
          <w:rFonts w:ascii="Times New Roman" w:eastAsia="Times New Roman" w:hAnsi="Times New Roman" w:cs="Times New Roman"/>
          <w:color w:val="000000"/>
        </w:rPr>
        <w:t>2018;5:180178</w:t>
      </w:r>
      <w:proofErr w:type="gramEnd"/>
      <w:r>
        <w:rPr>
          <w:rFonts w:ascii="Times New Roman" w:eastAsia="Times New Roman" w:hAnsi="Times New Roman" w:cs="Times New Roman"/>
          <w:color w:val="000000"/>
        </w:rPr>
        <w:t>.</w:t>
      </w:r>
    </w:p>
    <w:p w14:paraId="3A065248"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31. Essay P, Shahin TB, Balkan B, Mosier J, </w:t>
      </w:r>
      <w:proofErr w:type="spellStart"/>
      <w:r>
        <w:rPr>
          <w:rFonts w:ascii="Times New Roman" w:eastAsia="Times New Roman" w:hAnsi="Times New Roman" w:cs="Times New Roman"/>
          <w:color w:val="000000"/>
        </w:rPr>
        <w:t>Subbian</w:t>
      </w:r>
      <w:proofErr w:type="spellEnd"/>
      <w:r>
        <w:rPr>
          <w:rFonts w:ascii="Times New Roman" w:eastAsia="Times New Roman" w:hAnsi="Times New Roman" w:cs="Times New Roman"/>
          <w:color w:val="000000"/>
        </w:rPr>
        <w:t xml:space="preserve"> V. The Connected Intensive Care Unit Patient: Exploratory Analyses and Cohort Discovery </w:t>
      </w:r>
      <w:proofErr w:type="gramStart"/>
      <w:r>
        <w:rPr>
          <w:rFonts w:ascii="Times New Roman" w:eastAsia="Times New Roman" w:hAnsi="Times New Roman" w:cs="Times New Roman"/>
          <w:color w:val="000000"/>
        </w:rPr>
        <w:t>From</w:t>
      </w:r>
      <w:proofErr w:type="gramEnd"/>
      <w:r>
        <w:rPr>
          <w:rFonts w:ascii="Times New Roman" w:eastAsia="Times New Roman" w:hAnsi="Times New Roman" w:cs="Times New Roman"/>
          <w:color w:val="000000"/>
        </w:rPr>
        <w:t xml:space="preserve"> a Critical Care Telemedicine Database. JMIR Med Inform. 2019;7(1</w:t>
      </w:r>
      <w:proofErr w:type="gramStart"/>
      <w:r>
        <w:rPr>
          <w:rFonts w:ascii="Times New Roman" w:eastAsia="Times New Roman" w:hAnsi="Times New Roman" w:cs="Times New Roman"/>
          <w:color w:val="000000"/>
        </w:rPr>
        <w:t>):e</w:t>
      </w:r>
      <w:proofErr w:type="gramEnd"/>
      <w:r>
        <w:rPr>
          <w:rFonts w:ascii="Times New Roman" w:eastAsia="Times New Roman" w:hAnsi="Times New Roman" w:cs="Times New Roman"/>
          <w:color w:val="000000"/>
        </w:rPr>
        <w:t>13006.</w:t>
      </w:r>
    </w:p>
    <w:p w14:paraId="1F8F59EB"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32. Collins GS, Reitsma JB, Altman DG, Moons KG. Transparent Reporting of a multivariable prediction model for Individual Prognosis or Diagnosis (TRIPOD): the TRIPOD statement. Ann Intern Med. 2015;162(1):55-63.</w:t>
      </w:r>
    </w:p>
    <w:p w14:paraId="597943F7"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33. Collins GS, Moons KGM, Dhiman P, Riley RD, Beam AL, Van </w:t>
      </w:r>
      <w:proofErr w:type="spellStart"/>
      <w:r>
        <w:rPr>
          <w:rFonts w:ascii="Times New Roman" w:eastAsia="Times New Roman" w:hAnsi="Times New Roman" w:cs="Times New Roman"/>
          <w:color w:val="000000"/>
        </w:rPr>
        <w:t>Calster</w:t>
      </w:r>
      <w:proofErr w:type="spellEnd"/>
      <w:r>
        <w:rPr>
          <w:rFonts w:ascii="Times New Roman" w:eastAsia="Times New Roman" w:hAnsi="Times New Roman" w:cs="Times New Roman"/>
          <w:color w:val="000000"/>
        </w:rPr>
        <w:t xml:space="preserve"> B, Ghassemi M, Liu X, Reitsma JB, van Smeden M, Boulesteix AL, </w:t>
      </w:r>
      <w:proofErr w:type="spellStart"/>
      <w:r>
        <w:rPr>
          <w:rFonts w:ascii="Times New Roman" w:eastAsia="Times New Roman" w:hAnsi="Times New Roman" w:cs="Times New Roman"/>
          <w:color w:val="000000"/>
        </w:rPr>
        <w:t>Camaradou</w:t>
      </w:r>
      <w:proofErr w:type="spellEnd"/>
      <w:r>
        <w:rPr>
          <w:rFonts w:ascii="Times New Roman" w:eastAsia="Times New Roman" w:hAnsi="Times New Roman" w:cs="Times New Roman"/>
          <w:color w:val="000000"/>
        </w:rPr>
        <w:t xml:space="preserve"> JC, Celi LA, </w:t>
      </w:r>
      <w:proofErr w:type="spellStart"/>
      <w:r>
        <w:rPr>
          <w:rFonts w:ascii="Times New Roman" w:eastAsia="Times New Roman" w:hAnsi="Times New Roman" w:cs="Times New Roman"/>
          <w:color w:val="000000"/>
        </w:rPr>
        <w:t>Denaxas</w:t>
      </w:r>
      <w:proofErr w:type="spellEnd"/>
      <w:r>
        <w:rPr>
          <w:rFonts w:ascii="Times New Roman" w:eastAsia="Times New Roman" w:hAnsi="Times New Roman" w:cs="Times New Roman"/>
          <w:color w:val="000000"/>
        </w:rPr>
        <w:t xml:space="preserve"> S, Denniston AK, Glocker B, Golub RM, Harvey H, Heinze G, Hoffman MM, Kengne AP, Lam E, Lee N, Loder EW, Maier-Hein L, Mateen BA, </w:t>
      </w:r>
      <w:proofErr w:type="spellStart"/>
      <w:r>
        <w:rPr>
          <w:rFonts w:ascii="Times New Roman" w:eastAsia="Times New Roman" w:hAnsi="Times New Roman" w:cs="Times New Roman"/>
          <w:color w:val="000000"/>
        </w:rPr>
        <w:t>McCradden</w:t>
      </w:r>
      <w:proofErr w:type="spellEnd"/>
      <w:r>
        <w:rPr>
          <w:rFonts w:ascii="Times New Roman" w:eastAsia="Times New Roman" w:hAnsi="Times New Roman" w:cs="Times New Roman"/>
          <w:color w:val="000000"/>
        </w:rPr>
        <w:t xml:space="preserve"> MD, Oakden-Rayner L, Ordish J, Parnell R, Rose S, Singh K, Wynants L, Logullo P. TRIPOD+AI statement: updated guidance for reporting clinical prediction models that use regression or machine learning methods. BMJ. 2024;</w:t>
      </w:r>
      <w:proofErr w:type="gramStart"/>
      <w:r>
        <w:rPr>
          <w:rFonts w:ascii="Times New Roman" w:eastAsia="Times New Roman" w:hAnsi="Times New Roman" w:cs="Times New Roman"/>
          <w:color w:val="000000"/>
        </w:rPr>
        <w:t>385:e</w:t>
      </w:r>
      <w:proofErr w:type="gramEnd"/>
      <w:r>
        <w:rPr>
          <w:rFonts w:ascii="Times New Roman" w:eastAsia="Times New Roman" w:hAnsi="Times New Roman" w:cs="Times New Roman"/>
          <w:color w:val="000000"/>
        </w:rPr>
        <w:t>078378.</w:t>
      </w:r>
    </w:p>
    <w:p w14:paraId="1C315265"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34. Austin PC, </w:t>
      </w:r>
      <w:proofErr w:type="spellStart"/>
      <w:r>
        <w:rPr>
          <w:rFonts w:ascii="Times New Roman" w:eastAsia="Times New Roman" w:hAnsi="Times New Roman" w:cs="Times New Roman"/>
          <w:color w:val="000000"/>
        </w:rPr>
        <w:t>Steyerberg</w:t>
      </w:r>
      <w:proofErr w:type="spellEnd"/>
      <w:r>
        <w:rPr>
          <w:rFonts w:ascii="Times New Roman" w:eastAsia="Times New Roman" w:hAnsi="Times New Roman" w:cs="Times New Roman"/>
          <w:color w:val="000000"/>
        </w:rPr>
        <w:t xml:space="preserve"> EW. The Integrated Calibration Index (ICI) and related metrics for quantifying the calibration of logistic regression models. Stat Med. 2019;38(21):4051-4065.</w:t>
      </w:r>
    </w:p>
    <w:p w14:paraId="2B32A33E"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35. Austin PC, Harrell FE Jr, van </w:t>
      </w:r>
      <w:proofErr w:type="spellStart"/>
      <w:r>
        <w:rPr>
          <w:rFonts w:ascii="Times New Roman" w:eastAsia="Times New Roman" w:hAnsi="Times New Roman" w:cs="Times New Roman"/>
          <w:color w:val="000000"/>
        </w:rPr>
        <w:t>Klaveren</w:t>
      </w:r>
      <w:proofErr w:type="spellEnd"/>
      <w:r>
        <w:rPr>
          <w:rFonts w:ascii="Times New Roman" w:eastAsia="Times New Roman" w:hAnsi="Times New Roman" w:cs="Times New Roman"/>
          <w:color w:val="000000"/>
        </w:rPr>
        <w:t xml:space="preserve"> D. Graphical calibration curves and the integrated calibration index (ICI) for survival models. Stat Med. 2020;39(21):2714-2742.</w:t>
      </w:r>
    </w:p>
    <w:p w14:paraId="50AD3DFD"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36. Gao S, Wang Y, Yang L, Wang Z, Huang W. Characteristics and clinical subtypes of cancer patients in the intensive care unit: a retrospective observational study for two large databases. Ann Transl Med. 2021;9(1):13.</w:t>
      </w:r>
    </w:p>
    <w:p w14:paraId="21300328"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lastRenderedPageBreak/>
        <w:t>37. Austin PC, Stuart EA. Moving towards best practice when using inverse probability of treatment weighting (IPTW) using the propensity score to estimate causal treatment effects in observational studies. Stat Med. 2015;34(28):3661-79.</w:t>
      </w:r>
    </w:p>
    <w:p w14:paraId="49F5CCC1"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38. Austin PC, Merlo J. Intermediate and advanced topics in multilevel logistic regression analysis. Stat Med. 2017;36(20):3257-3277.</w:t>
      </w:r>
    </w:p>
    <w:p w14:paraId="75BCDCEE"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39. Merlo J, Chaix B, Ohlsson H, Beckman A, Johnell K, Hjerpe P, </w:t>
      </w:r>
      <w:proofErr w:type="spellStart"/>
      <w:r>
        <w:rPr>
          <w:rFonts w:ascii="Times New Roman" w:eastAsia="Times New Roman" w:hAnsi="Times New Roman" w:cs="Times New Roman"/>
          <w:color w:val="000000"/>
        </w:rPr>
        <w:t>Råstam</w:t>
      </w:r>
      <w:proofErr w:type="spellEnd"/>
      <w:r>
        <w:rPr>
          <w:rFonts w:ascii="Times New Roman" w:eastAsia="Times New Roman" w:hAnsi="Times New Roman" w:cs="Times New Roman"/>
          <w:color w:val="000000"/>
        </w:rPr>
        <w:t xml:space="preserve"> L, Larsen K. A brief conceptual tutorial of multilevel analysis in social epidemiology: using measures of clustering in multilevel logistic regression to investigate contextual phenomena. J Epidemiol Community Health. 2006;60(4):290-7.</w:t>
      </w:r>
    </w:p>
    <w:p w14:paraId="697487FA"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40. Spiegelhalter DJ. Funnel plots for comparing institutional performance. Stat Med. 2005;24(8):1185-202.</w:t>
      </w:r>
    </w:p>
    <w:p w14:paraId="369162DA"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41. Ma J, Chi S, Buettner B, Pollard K, Muir M, Kolekar C, Al-Hammadi N, Chen L, </w:t>
      </w:r>
      <w:proofErr w:type="spellStart"/>
      <w:r>
        <w:rPr>
          <w:rFonts w:ascii="Times New Roman" w:eastAsia="Times New Roman" w:hAnsi="Times New Roman" w:cs="Times New Roman"/>
          <w:color w:val="000000"/>
        </w:rPr>
        <w:t>Kollef</w:t>
      </w:r>
      <w:proofErr w:type="spellEnd"/>
      <w:r>
        <w:rPr>
          <w:rFonts w:ascii="Times New Roman" w:eastAsia="Times New Roman" w:hAnsi="Times New Roman" w:cs="Times New Roman"/>
          <w:color w:val="000000"/>
        </w:rPr>
        <w:t xml:space="preserve"> M, Dans M. Early Palliative Care Consultation in the Medical ICU: A Cluster Randomized Crossover Trial. Crit Care Med. 2019;47(12):1707-1715.</w:t>
      </w:r>
    </w:p>
    <w:p w14:paraId="028A27A8"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42. Martins BDCPCC, Oliveira RA, Cataneo AJM. Palliative care for terminally ill patients in the intensive care unit: Systematic review and </w:t>
      </w:r>
      <w:proofErr w:type="spellStart"/>
      <w:r>
        <w:rPr>
          <w:rFonts w:ascii="Times New Roman" w:eastAsia="Times New Roman" w:hAnsi="Times New Roman" w:cs="Times New Roman"/>
          <w:color w:val="000000"/>
        </w:rPr>
        <w:t>metaanalysis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Palliat</w:t>
      </w:r>
      <w:proofErr w:type="spellEnd"/>
      <w:r>
        <w:rPr>
          <w:rFonts w:ascii="Times New Roman" w:eastAsia="Times New Roman" w:hAnsi="Times New Roman" w:cs="Times New Roman"/>
          <w:color w:val="000000"/>
        </w:rPr>
        <w:t xml:space="preserve"> Support Care. 2017;15(3):376-383.</w:t>
      </w:r>
    </w:p>
    <w:p w14:paraId="091FFF13"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43. Hsu-Kim C, Friedman T, Gracely E, Gasperino J. Integrating Palliative Care into Critical Care: A Quality Improvement Study. J Intensive Care Med. 2015;30(6):358-64.</w:t>
      </w:r>
    </w:p>
    <w:p w14:paraId="2B89215F"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44. </w:t>
      </w:r>
      <w:proofErr w:type="spellStart"/>
      <w:r>
        <w:rPr>
          <w:rFonts w:ascii="Times New Roman" w:eastAsia="Times New Roman" w:hAnsi="Times New Roman" w:cs="Times New Roman"/>
          <w:color w:val="000000"/>
        </w:rPr>
        <w:t>Nerenz</w:t>
      </w:r>
      <w:proofErr w:type="spellEnd"/>
      <w:r>
        <w:rPr>
          <w:rFonts w:ascii="Times New Roman" w:eastAsia="Times New Roman" w:hAnsi="Times New Roman" w:cs="Times New Roman"/>
          <w:color w:val="000000"/>
        </w:rPr>
        <w:t xml:space="preserve"> DR, Austin JM, Deutscher D, Maddox KEJ, Nuccio EJ, Teigland C, Weinhandl E, Glance LG. Adjusting Quality Measures </w:t>
      </w:r>
      <w:proofErr w:type="gramStart"/>
      <w:r>
        <w:rPr>
          <w:rFonts w:ascii="Times New Roman" w:eastAsia="Times New Roman" w:hAnsi="Times New Roman" w:cs="Times New Roman"/>
          <w:color w:val="000000"/>
        </w:rPr>
        <w:t>For</w:t>
      </w:r>
      <w:proofErr w:type="gramEnd"/>
      <w:r>
        <w:rPr>
          <w:rFonts w:ascii="Times New Roman" w:eastAsia="Times New Roman" w:hAnsi="Times New Roman" w:cs="Times New Roman"/>
          <w:color w:val="000000"/>
        </w:rPr>
        <w:t xml:space="preserve"> Social Risk Factors Can Promote Equity </w:t>
      </w:r>
      <w:proofErr w:type="gramStart"/>
      <w:r>
        <w:rPr>
          <w:rFonts w:ascii="Times New Roman" w:eastAsia="Times New Roman" w:hAnsi="Times New Roman" w:cs="Times New Roman"/>
          <w:color w:val="000000"/>
        </w:rPr>
        <w:t>In</w:t>
      </w:r>
      <w:proofErr w:type="gramEnd"/>
      <w:r>
        <w:rPr>
          <w:rFonts w:ascii="Times New Roman" w:eastAsia="Times New Roman" w:hAnsi="Times New Roman" w:cs="Times New Roman"/>
          <w:color w:val="000000"/>
        </w:rPr>
        <w:t xml:space="preserve"> Health Care. Health Aff (Millwood). 2021;40(4):637-644.</w:t>
      </w:r>
    </w:p>
    <w:p w14:paraId="46D1FD16"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 xml:space="preserve">45. Russell E, Hall AK, </w:t>
      </w:r>
      <w:proofErr w:type="spellStart"/>
      <w:r>
        <w:rPr>
          <w:rFonts w:ascii="Times New Roman" w:eastAsia="Times New Roman" w:hAnsi="Times New Roman" w:cs="Times New Roman"/>
          <w:color w:val="000000"/>
        </w:rPr>
        <w:t>McKaigney</w:t>
      </w:r>
      <w:proofErr w:type="spellEnd"/>
      <w:r>
        <w:rPr>
          <w:rFonts w:ascii="Times New Roman" w:eastAsia="Times New Roman" w:hAnsi="Times New Roman" w:cs="Times New Roman"/>
          <w:color w:val="000000"/>
        </w:rPr>
        <w:t xml:space="preserve"> C, Goldie C, Harle I, </w:t>
      </w:r>
      <w:proofErr w:type="spellStart"/>
      <w:r>
        <w:rPr>
          <w:rFonts w:ascii="Times New Roman" w:eastAsia="Times New Roman" w:hAnsi="Times New Roman" w:cs="Times New Roman"/>
          <w:color w:val="000000"/>
        </w:rPr>
        <w:t>Sivilotti</w:t>
      </w:r>
      <w:proofErr w:type="spellEnd"/>
      <w:r>
        <w:rPr>
          <w:rFonts w:ascii="Times New Roman" w:eastAsia="Times New Roman" w:hAnsi="Times New Roman" w:cs="Times New Roman"/>
          <w:color w:val="000000"/>
        </w:rPr>
        <w:t xml:space="preserve"> MLA. Code Status Documentation Availability and Accuracy Among Emergency Patients with End-stage Disease. West J Emerg Med. 2021;22(3):628-635.</w:t>
      </w:r>
    </w:p>
    <w:p w14:paraId="00E71FCE" w14:textId="77777777" w:rsidR="006920B6" w:rsidRDefault="00000000">
      <w:pPr>
        <w:pBdr>
          <w:top w:val="none" w:sz="0" w:space="0" w:color="000000"/>
          <w:left w:val="none" w:sz="0" w:space="0" w:color="000000"/>
          <w:bottom w:val="none" w:sz="0" w:space="0" w:color="000000"/>
          <w:right w:val="none" w:sz="0" w:space="0" w:color="000000"/>
        </w:pBdr>
        <w:spacing w:after="80" w:line="360" w:lineRule="auto"/>
      </w:pPr>
      <w:r>
        <w:rPr>
          <w:rFonts w:ascii="Times New Roman" w:eastAsia="Times New Roman" w:hAnsi="Times New Roman" w:cs="Times New Roman"/>
          <w:color w:val="000000"/>
        </w:rPr>
        <w:t>46. Wade CE, del Junco DJ, Fox EE, Cotton BA, Cohen MJ, Muskat P, Schreiber MA, Rahbar MH, Sauer RM, Brasel KJ, Bulger EM, Myers JG, Phelan HA, Alarcon LH, Holcomb JB, PROMMTT Study Group. Do-not-resuscitate orders in trauma patients may bias mortality-based effect estimates: an evaluation using the PROMMTT study. J Trauma Acute Care Surg. 2013;75(1 Suppl 1</w:t>
      </w:r>
      <w:proofErr w:type="gramStart"/>
      <w:r>
        <w:rPr>
          <w:rFonts w:ascii="Times New Roman" w:eastAsia="Times New Roman" w:hAnsi="Times New Roman" w:cs="Times New Roman"/>
          <w:color w:val="000000"/>
        </w:rPr>
        <w:t>):S</w:t>
      </w:r>
      <w:proofErr w:type="gramEnd"/>
      <w:r>
        <w:rPr>
          <w:rFonts w:ascii="Times New Roman" w:eastAsia="Times New Roman" w:hAnsi="Times New Roman" w:cs="Times New Roman"/>
          <w:color w:val="000000"/>
        </w:rPr>
        <w:t>89-96.</w:t>
      </w:r>
    </w:p>
    <w:sectPr w:rsidR="006920B6">
      <w:footerReference w:type="default" r:id="rId10"/>
      <w:type w:val="continuous"/>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37FB" w14:textId="77777777" w:rsidR="00AD6C03" w:rsidRDefault="00AD6C03">
      <w:r>
        <w:separator/>
      </w:r>
    </w:p>
  </w:endnote>
  <w:endnote w:type="continuationSeparator" w:id="0">
    <w:p w14:paraId="385D4E49" w14:textId="77777777" w:rsidR="00AD6C03" w:rsidRDefault="00AD6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264E" w14:textId="77777777" w:rsidR="006920B6" w:rsidRDefault="00000000">
    <w:pPr>
      <w:pBdr>
        <w:top w:val="none" w:sz="0" w:space="0" w:color="000000"/>
        <w:left w:val="none" w:sz="0" w:space="0" w:color="000000"/>
        <w:bottom w:val="none" w:sz="0" w:space="0" w:color="000000"/>
        <w:right w:val="none" w:sz="0" w:space="0" w:color="000000"/>
      </w:pBdr>
      <w:spacing w:before="120"/>
      <w:jc w:val="center"/>
    </w:pPr>
    <w:r>
      <w:fldChar w:fldCharType="begin"/>
    </w:r>
    <w:r>
      <w:instrText>PAGE</w:instrText>
    </w:r>
    <w:r w:rsidR="002608FD">
      <w:fldChar w:fldCharType="separate"/>
    </w:r>
    <w:r w:rsidR="002608FD">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567B" w14:textId="77777777" w:rsidR="00AD6C03" w:rsidRDefault="00AD6C03">
      <w:r>
        <w:separator/>
      </w:r>
    </w:p>
  </w:footnote>
  <w:footnote w:type="continuationSeparator" w:id="0">
    <w:p w14:paraId="23BAA5D4" w14:textId="77777777" w:rsidR="00AD6C03" w:rsidRDefault="00AD6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03457928">
    <w:abstractNumId w:val="1"/>
  </w:num>
  <w:num w:numId="2" w16cid:durableId="625821373">
    <w:abstractNumId w:val="2"/>
  </w:num>
  <w:num w:numId="3" w16cid:durableId="181228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76135"/>
    <w:rsid w:val="001C0A13"/>
    <w:rsid w:val="001D75AB"/>
    <w:rsid w:val="002608FD"/>
    <w:rsid w:val="00273A29"/>
    <w:rsid w:val="0035500D"/>
    <w:rsid w:val="00362E65"/>
    <w:rsid w:val="004158F9"/>
    <w:rsid w:val="00457CF1"/>
    <w:rsid w:val="006920B6"/>
    <w:rsid w:val="00747CCE"/>
    <w:rsid w:val="007B3E96"/>
    <w:rsid w:val="008F1F48"/>
    <w:rsid w:val="00901463"/>
    <w:rsid w:val="00946CB3"/>
    <w:rsid w:val="00AD6C03"/>
    <w:rsid w:val="00AE18EF"/>
    <w:rsid w:val="00AE1BDD"/>
    <w:rsid w:val="00B3547C"/>
    <w:rsid w:val="00B4379D"/>
    <w:rsid w:val="00BA4A55"/>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26231"/>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character" w:styleId="Hyperlink">
    <w:name w:val="Hyperlink"/>
    <w:basedOn w:val="DefaultParagraphFont"/>
    <w:uiPriority w:val="99"/>
    <w:unhideWhenUsed/>
    <w:rsid w:val="00176135"/>
    <w:rPr>
      <w:color w:val="0000FF" w:themeColor="hyperlink"/>
      <w:u w:val="single"/>
    </w:rPr>
  </w:style>
  <w:style w:type="character" w:styleId="UnresolvedMention">
    <w:name w:val="Unresolved Mention"/>
    <w:basedOn w:val="DefaultParagraphFont"/>
    <w:uiPriority w:val="99"/>
    <w:semiHidden/>
    <w:unhideWhenUsed/>
    <w:rsid w:val="00176135"/>
    <w:rPr>
      <w:color w:val="605E5C"/>
      <w:shd w:val="clear" w:color="auto" w:fill="E1DFDD"/>
    </w:rPr>
  </w:style>
  <w:style w:type="character" w:styleId="FollowedHyperlink">
    <w:name w:val="FollowedHyperlink"/>
    <w:basedOn w:val="DefaultParagraphFont"/>
    <w:uiPriority w:val="99"/>
    <w:semiHidden/>
    <w:unhideWhenUsed/>
    <w:rsid w:val="001761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5769</Words>
  <Characters>32889</Characters>
  <Application>Microsoft Office Word</Application>
  <DocSecurity>0</DocSecurity>
  <Lines>274</Lines>
  <Paragraphs>77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38581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Fabrice Tiku Nyambod</cp:lastModifiedBy>
  <cp:revision>12</cp:revision>
  <dcterms:created xsi:type="dcterms:W3CDTF">2017-02-28T11:18:00Z</dcterms:created>
  <dcterms:modified xsi:type="dcterms:W3CDTF">2026-08-08T17:10:00Z</dcterms:modified>
  <cp:category/>
</cp:coreProperties>
</file>