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Supplementary Material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Treatment Limitation Documentation and Risk Adjusted Mortality Benchmarking in 190 US Intensive Care Units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2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Fabrice T. Nyambod, MD, MPH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4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Contents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76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S1. Discrimination and accuracy on held out data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76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S2. Effect of modeling treatment limitation on unit ranking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76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S3. Unit level case mix and limitation rate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76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S4. Unit level ranking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76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S5. Covariate balance before and after weighting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76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Figure S1. Derivation of the study cohort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8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Discrimination and accuracy on held out data.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368"/>
        <w:gridCol w:w="1368"/>
        <w:gridCol w:w="1368"/>
        <w:gridCol w:w="1368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AUC_lo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AUC_hi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Brier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APACHE IVa (raw)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APACHE recalibrated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0.06049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0.06048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code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0.05785</w:t>
            </w:r>
          </w:p>
        </w:tc>
      </w:tr>
      <w:tr>
        <w:trPr>
          <w:trHeight w:val="317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code status + cancer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0.05785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Held out sample n = 40,871. AUC denotes area under the receiver operating characteristic curve. Adding limitation status improved the AUC (p &lt; 0.001, DeLong). Adding malignancy did not (p = 0.16).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8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Effect of modeling treatment limitation on unit ranking.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 correlation of ranks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absolute rank shift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 of 162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moving more than 10 positions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(38.3%)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moving more than 20 positions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(14.8%)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changing quartile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(23.5%)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changing outlier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(8.0%)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mortality outlier to as expected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 expected to high mortality outlier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Based on 162 units with 100 or more admissions. Outlier status from exact Poisson 95 percent limits.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8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Unit level limitation rate against case mix expectation.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Unit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Stays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Observed rate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 rate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Observed / expected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2.512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1.705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1.581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1.974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1.974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1.220</w:t>
            </w:r>
          </w:p>
        </w:tc>
      </w:tr>
      <w:tr>
        <w:trPr>
          <w:trHeight w:val="317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162 units with 100 or more admissions. Expected rate from a mixed effects model adjusted for the APACHE linear predictor, age, sex, malignancy, immunosuppression, cirrhosis, diabetes and day 1 ventilation.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8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Unit level ranking with and without treatment limitation in the risk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Unit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Stays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Limitation rate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SMR current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SMR adjusted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Rank current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Rank adjusted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Rank shift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-25</w:t>
            </w:r>
          </w:p>
        </w:tc>
      </w:tr>
      <w:tr>
        <w:trPr>
          <w:trHeight w:val="317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SMR denotes standardized mortality ratio. A negative rank shift indicates the unit improved when limitation was modeled.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8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S5.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Covariate balance between the highest and lowest limitation quintile, before and after inverse probability weighting.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4"/>
        <w:gridCol w:w="1368"/>
        <w:gridCol w:w="1368"/>
        <w:gridCol w:w="1368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Type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Diff.Un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Diff.Adj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prop.score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APACHE IVa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-0.0028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Acute physiology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Predicted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0.0159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Metastatic or haematologic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-0.0007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Immunosuppression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Cirrhosis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Hepatic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</w:tr>
      <w:tr>
        <w:trPr>
          <w:trHeight w:val="317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Ventilated on day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-0.0033</w:t>
            </w:r>
          </w:p>
        </w:tc>
      </w:tr>
      <w:tr>
        <w:trPr>
          <w:trHeight w:val="317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Admitted from emergency department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 for balance is a standardized mean difference of 0.1. All covariates balanced after weighting.</w:t>
            </w:r>
          </w:p>
        </w:tc>
      </w:tr>
    </w:tbl>
    <w:p>
      <w:pPr/>
      <w:r>
        <w:br w:type="page"/>
      </w:r>
    </w:p>
    <w:p>
      <w:pPr>
        <w:pStyle w:val="centered"/>
      </w:pPr>
      <w:r>
        <w:rPr/>
        <w:drawing>
          <wp:inline distT="0" distB="0" distL="0" distR="0">
            <wp:extent cx="5486400" cy="5791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8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S1.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Derivation of the study cohort from the eICU Collaborative Research Database version 2.0.</w:t>
      </w:r>
    </w:p>
    <w:sectPr>
      <w:footerReference w:officer="true" r:id="rId7" w:type="default">
</w:footerReference>
      <w:pgMar w:header="708" w:bottom="1440" w:top="1440" w:right="1440" w:left="144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footer" Target="footer1.xml"/>
<Relationship Id="rId8" Type="http://schemas.openxmlformats.org/officeDocument/2006/relationships/image" Target="media/a898d415f091318f86db17371c64fadfd8b4cfca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2026-08-08T13:14:14Z</dcterms:modified>
  <cp:category/>
</cp:coreProperties>
</file>