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Characteristics of 136,236 intensive care admissions by treatment limitation status within 24 hours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1325"/>
        <w:gridCol w:w="1325"/>
        <w:gridCol w:w="1325"/>
        <w:gridCol w:w="1325"/>
        <w:gridCol w:w="1325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Full therapy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DNR type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withdrawal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Comfort measures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Undocumented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Stays, 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117,377.00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11,929.00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689.00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878.00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5,363.00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Percent of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median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over 89,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APACHE IVa score,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Predicted mortality,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mortality,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Standardised mortality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Metastatic or haematologic malignancy,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Immunosuppression,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Ventilated day 1,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19.30</w:t>
            </w:r>
          </w:p>
        </w:tc>
      </w:tr>
      <w:tr>
        <w:trPr>
          <w:trHeight w:val="346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ICU stay, median hours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43.10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APACHE denotes Acute Physiology and Chronic Health Evaluation.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2. APACHE IVa calibration by treatment limitation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cs_lab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ICI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Emax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Undocumented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0.3262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Undocumented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0.1242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0.1491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0.2481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DNR-type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0.1074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DNR-type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0.0461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Partial withdrawal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Partial withdrawal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0.0772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Comfort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0.4466</w:t>
            </w:r>
          </w:p>
        </w:tc>
      </w:tr>
      <w:tr>
        <w:trPr>
          <w:trHeight w:val="346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Comfort 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cancer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 denotes integrated calibration index. Emax denotes maximum absolute calibration error.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3. Discrimination and accuracy on held out 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368"/>
        <w:gridCol w:w="1368"/>
        <w:gridCol w:w="1368"/>
        <w:gridCol w:w="136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AUC_lo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AUC_hi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Brier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APACHE IVa (raw)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0.06210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APACHE recalibrated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0.06049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0.06048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code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0.05785</w:t>
            </w:r>
          </w:p>
        </w:tc>
      </w:tr>
      <w:tr>
        <w:trPr>
          <w:trHeight w:val="346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code status + cancer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Held out sample n = 40,871. AUC denotes area under the receiver operating characteristic curve.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2026-08-07T22:13:37Z</dcterms:modified>
  <cp:category/>
</cp:coreProperties>
</file>