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4. Effect of modelling treatment limitation on unit ranking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896"/>
        <w:gridCol w:w="2304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Measure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Value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Spearman correlation of ranks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0.949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absolute rank shift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7.5 of 162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Units moving more than 10 positions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(38.3%)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Units moving more than 20 positions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(14.8%)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Units changing quartile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(23.5%)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Units changing outlier classification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 (8.0%)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 mortality outlier to as expected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</w:tr>
      <w:tr>
        <w:trPr>
          <w:trHeight w:val="346" w:hRule="exact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As expected to high mortality outlier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Based on 162 units with 100 or more admissions. Outlier status from exact Poisson 95 percent limits.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Table 5. Comparison of remediation strategies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56"/>
        <w:gridCol w:w="1944"/>
        <w:gridCol w:w="1944"/>
        <w:gridCol w:w="1944"/>
      </w:tblGrid>
      <w:tr>
        <w:trPr>
          <w:trHeight w:val="360" w:hRule="auto"/>
          <w:tblHeader/>
        </w:trPr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Strategy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Admissions affected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Units changing quartile</w:t>
            </w:r>
          </w:p>
        </w:tc>
        <w:tc>
          <w:tcPr>
            <w:tcBorders>
              <w:bottom w:val="single" w:sz="6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Correlation with current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Current practice, APACHE IVa alone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Adjust for limitation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(23.5%)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0.949</w:t>
            </w:r>
          </w:p>
        </w:tc>
      </w:tr>
      <w:tr>
        <w:trPr>
          <w:trHeight w:val="346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Exclude comfort measures 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878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0.986</w:t>
            </w:r>
          </w:p>
        </w:tc>
      </w:tr>
      <w:tr>
        <w:trPr>
          <w:trHeight w:val="346" w:hRule="exact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Exclude any limitation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13,496 (9.9%)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(28.4%)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0.878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Correlation is Spearman rank correlation of standardised mortality ratios against current practice.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2026-08-07T22:13:38Z</dcterms:modified>
  <cp:category/>
</cp:coreProperties>
</file>