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160" w:before="0"/>
        <w:jc w:val="center"/>
      </w:pPr>
      <w:r>
        <w:rPr>
          <w:rFonts w:ascii="Calibri" w:cs="Calibri" w:eastAsia="Calibri" w:hAnsi="Calibri"/>
          <w:b/>
          <w:bCs/>
          <w:color w:val="1F3864"/>
          <w:sz w:val="54"/>
          <w:szCs w:val="54"/>
        </w:rPr>
        <w:t xml:space="preserve">PLANNING D'EXÉCUTION</w:t>
      </w:r>
    </w:p>
    <w:p>
      <w:pPr>
        <w:spacing w:after="320" w:before="0"/>
        <w:jc w:val="center"/>
      </w:pPr>
      <w:r>
        <w:rPr>
          <w:rFonts w:ascii="Calibri" w:cs="Calibri" w:eastAsia="Calibri" w:hAnsi="Calibri"/>
          <w:b/>
          <w:bCs/>
          <w:color w:val="1F3864"/>
          <w:sz w:val="38"/>
          <w:szCs w:val="38"/>
        </w:rPr>
        <w:t xml:space="preserve">TRAVAIL DE FIN D'ÉTUDES</w:t>
      </w:r>
    </w:p>
    <w:p>
      <w:pPr>
        <w:pBdr>
          <w:bottom w:val="single" w:color="2E75B6" w:sz="14" w:space="1"/>
        </w:pBdr>
        <w:spacing w:after="400" w:before="0"/>
        <w:jc w:val="center"/>
      </w:pPr>
    </w:p>
    <w:p>
      <w:pPr>
        <w:spacing w:after="100" w:before="400"/>
        <w:jc w:val="center"/>
      </w:pPr>
      <w:r>
        <w:rPr>
          <w:rFonts w:ascii="Calibri" w:cs="Calibri" w:eastAsia="Calibri" w:hAnsi="Calibri"/>
          <w:b/>
          <w:bCs/>
          <w:color w:val="2E75B6"/>
          <w:sz w:val="72"/>
          <w:szCs w:val="72"/>
        </w:rPr>
        <w:t xml:space="preserve">CINAF v2</w:t>
      </w:r>
    </w:p>
    <w:p>
      <w:pPr>
        <w:spacing w:after="600" w:before="0"/>
        <w:jc w:val="center"/>
      </w:pPr>
      <w:r>
        <w:rPr>
          <w:rFonts w:ascii="Calibri" w:cs="Calibri" w:eastAsia="Calibri" w:hAnsi="Calibri"/>
          <w:i/>
          <w:iCs/>
          <w:color w:val="595959"/>
          <w:sz w:val="30"/>
          <w:szCs w:val="30"/>
        </w:rPr>
        <w:t xml:space="preserve">Plateforme de streaming audiovisuel africain</w:t>
      </w:r>
    </w:p>
    <w:p>
      <w:pPr>
        <w:spacing w:after="300" w:before="300"/>
      </w:pPr>
    </w:p>
    <w:p>
      <w:pPr>
        <w:spacing w:after="80" w:before="80"/>
        <w:jc w:val="center"/>
      </w:pPr>
      <w:r>
        <w:rPr>
          <w:rFonts w:ascii="Calibri" w:cs="Calibri" w:eastAsia="Calibri" w:hAnsi="Calibri"/>
          <w:b/>
          <w:bCs/>
          <w:color w:val="1F3864"/>
          <w:sz w:val="26"/>
          <w:szCs w:val="26"/>
        </w:rPr>
        <w:t xml:space="preserve">Étudiant :  </w:t>
      </w:r>
      <w:r>
        <w:rPr>
          <w:rFonts w:ascii="Calibri" w:cs="Calibri" w:eastAsia="Calibri" w:hAnsi="Calibri"/>
          <w:color w:val="595959"/>
          <w:sz w:val="26"/>
          <w:szCs w:val="26"/>
        </w:rPr>
        <w:t xml:space="preserve">Takoumbo Fabrice</w:t>
      </w:r>
    </w:p>
    <w:p>
      <w:pPr>
        <w:spacing w:after="80" w:before="80"/>
        <w:jc w:val="center"/>
      </w:pPr>
      <w:r>
        <w:rPr>
          <w:rFonts w:ascii="Calibri" w:cs="Calibri" w:eastAsia="Calibri" w:hAnsi="Calibri"/>
          <w:b/>
          <w:bCs/>
          <w:color w:val="1F3864"/>
          <w:sz w:val="26"/>
          <w:szCs w:val="26"/>
        </w:rPr>
        <w:t xml:space="preserve">Institut :  </w:t>
      </w:r>
      <w:r>
        <w:rPr>
          <w:rFonts w:ascii="Calibri" w:cs="Calibri" w:eastAsia="Calibri" w:hAnsi="Calibri"/>
          <w:color w:val="595959"/>
          <w:sz w:val="26"/>
          <w:szCs w:val="26"/>
        </w:rPr>
        <w:t xml:space="preserve">Institut Saint Laurent (ISL) — Liège, Belgique</w:t>
      </w:r>
    </w:p>
    <w:p>
      <w:pPr>
        <w:spacing w:after="80" w:before="80"/>
        <w:jc w:val="center"/>
      </w:pPr>
      <w:r>
        <w:rPr>
          <w:rFonts w:ascii="Calibri" w:cs="Calibri" w:eastAsia="Calibri" w:hAnsi="Calibri"/>
          <w:b/>
          <w:bCs/>
          <w:color w:val="1F3864"/>
          <w:sz w:val="26"/>
          <w:szCs w:val="26"/>
        </w:rPr>
        <w:t xml:space="preserve">Filière :  </w:t>
      </w:r>
      <w:r>
        <w:rPr>
          <w:rFonts w:ascii="Calibri" w:cs="Calibri" w:eastAsia="Calibri" w:hAnsi="Calibri"/>
          <w:color w:val="595959"/>
          <w:sz w:val="26"/>
          <w:szCs w:val="26"/>
        </w:rPr>
        <w:t xml:space="preserve">Bachelier en Informatique de Gestion</w:t>
      </w:r>
    </w:p>
    <w:p>
      <w:pPr>
        <w:spacing w:after="80" w:before="80"/>
        <w:jc w:val="center"/>
      </w:pPr>
      <w:r>
        <w:rPr>
          <w:rFonts w:ascii="Calibri" w:cs="Calibri" w:eastAsia="Calibri" w:hAnsi="Calibri"/>
          <w:b/>
          <w:bCs/>
          <w:color w:val="1F3864"/>
          <w:sz w:val="26"/>
          <w:szCs w:val="26"/>
        </w:rPr>
        <w:t xml:space="preserve">Année académique :  </w:t>
      </w:r>
      <w:r>
        <w:rPr>
          <w:rFonts w:ascii="Calibri" w:cs="Calibri" w:eastAsia="Calibri" w:hAnsi="Calibri"/>
          <w:color w:val="595959"/>
          <w:sz w:val="26"/>
          <w:szCs w:val="26"/>
        </w:rPr>
        <w:t xml:space="preserve">2025 — 2026</w:t>
      </w:r>
    </w:p>
    <w:p>
      <w:pPr>
        <w:spacing w:after="80" w:before="80"/>
        <w:jc w:val="center"/>
      </w:pPr>
      <w:r>
        <w:rPr>
          <w:rFonts w:ascii="Calibri" w:cs="Calibri" w:eastAsia="Calibri" w:hAnsi="Calibri"/>
          <w:b/>
          <w:bCs/>
          <w:color w:val="1F3864"/>
          <w:sz w:val="26"/>
          <w:szCs w:val="26"/>
        </w:rPr>
        <w:t xml:space="preserve">Deadline de soumission :  </w:t>
      </w:r>
      <w:r>
        <w:rPr>
          <w:rFonts w:ascii="Calibri" w:cs="Calibri" w:eastAsia="Calibri" w:hAnsi="Calibri"/>
          <w:color w:val="595959"/>
          <w:sz w:val="26"/>
          <w:szCs w:val="26"/>
        </w:rPr>
        <w:t xml:space="preserve">Fin juin 2026</w:t>
      </w:r>
    </w:p>
    <w:p>
      <w:pPr>
        <w:spacing w:after="400" w:before="400"/>
      </w:pPr>
    </w:p>
    <w:p>
      <w:pPr>
        <w:spacing w:after="100" w:before="200"/>
        <w:jc w:val="center"/>
      </w:pPr>
      <w:r>
        <w:rPr>
          <w:rFonts w:ascii="Calibri" w:cs="Calibri" w:eastAsia="Calibri" w:hAnsi="Calibri"/>
          <w:color w:val="D9D9D9"/>
          <w:sz w:val="22"/>
          <w:szCs w:val="22"/>
        </w:rPr>
        <w:t xml:space="preserve">Version 2.0  |  1er avril 2026</w:t>
      </w:r>
    </w:p>
    <w:p>
      <w:pPr>
        <w:sectPr>
          <w:pgSz w:w="11906" w:h="16838" w:orient="portrait"/>
          <w:pgMar w:top="1440" w:right="1440" w:bottom="1440" w:left="1440" w:header="708" w:footer="708" w:gutter="0"/>
          <w:pgNumType/>
          <w:docGrid w:linePitch="360"/>
        </w:sectPr>
      </w:pPr>
    </w:p>
    <w:p>
      <w:pPr>
        <w:spacing w:after="200" w:before="0"/>
      </w:pPr>
      <w:r>
        <w:rPr>
          <w:rFonts w:ascii="Calibri" w:cs="Calibri" w:eastAsia="Calibri" w:hAnsi="Calibri"/>
          <w:b/>
          <w:bCs/>
          <w:color w:val="1F3864"/>
          <w:sz w:val="32"/>
          <w:szCs w:val="32"/>
        </w:rPr>
        <w:t xml:space="preserve">1. DIAGRAMME DE GANTT — PLANNING GLOBAL</w:t>
      </w:r>
    </w:p>
    <w:p>
      <w:pPr>
        <w:spacing w:after="240" w:before="0"/>
      </w:pPr>
      <w:r>
        <w:rPr>
          <w:rFonts w:ascii="Calibri" w:cs="Calibri" w:eastAsia="Calibri" w:hAnsi="Calibri"/>
          <w:i/>
          <w:iCs/>
          <w:color w:val="595959"/>
          <w:sz w:val="21"/>
          <w:szCs w:val="21"/>
        </w:rPr>
        <w:t xml:space="preserve">Période : Avril — Juin 2026  |  13 semaines  |  Projet : CINAF v2 — Plateforme de streaming audiovisuel</w:t>
      </w:r>
    </w:p>
    <w:tbl>
      <w:tblPr>
        <w:tblW w:type="dxa" w:w="15220"/>
        <w:tblBorders>
          <w:top w:val="single" w:color="auto" w:sz="4"/>
          <w:left w:val="single" w:color="auto" w:sz="4"/>
          <w:bottom w:val="single" w:color="auto" w:sz="4"/>
          <w:right w:val="single" w:color="auto" w:sz="4"/>
          <w:insideH w:val="single" w:color="auto" w:sz="4"/>
          <w:insideV w:val="single" w:color="auto" w:sz="4"/>
        </w:tblBorders>
      </w:tblPr>
      <w:tblGrid>
        <w:gridCol w:w="3000"/>
        <w:gridCol w:w="940"/>
        <w:gridCol w:w="940"/>
        <w:gridCol w:w="940"/>
        <w:gridCol w:w="940"/>
        <w:gridCol w:w="940"/>
        <w:gridCol w:w="940"/>
        <w:gridCol w:w="940"/>
        <w:gridCol w:w="940"/>
        <w:gridCol w:w="940"/>
        <w:gridCol w:w="940"/>
        <w:gridCol w:w="940"/>
        <w:gridCol w:w="940"/>
        <w:gridCol w:w="940"/>
      </w:tblGrid>
      <w:tr>
        <w:tc>
          <w:tcPr>
            <w:tcW w:type="dxa" w:w="3000"/>
            <w:tcBorders>
              <w:top w:val="single" w:color="FFFFFF" w:sz="6"/>
              <w:left w:val="single" w:color="FFFFFF" w:sz="6"/>
              <w:bottom w:val="single" w:color="FFFFFF" w:sz="6"/>
              <w:right w:val="single" w:color="FFFFFF" w:sz="6"/>
            </w:tcBorders>
            <w:shd w:fill="1F3864"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FFFFFF"/>
                <w:sz w:val="20"/>
                <w:szCs w:val="20"/>
              </w:rPr>
              <w:t xml:space="preserve">PHASE / MODULE</w:t>
            </w:r>
          </w:p>
        </w:tc>
        <w:tc>
          <w:tcPr>
            <w:tcW w:type="dxa" w:w="3760"/>
            <w:gridSpan w:val="4"/>
            <w:tcBorders>
              <w:top w:val="single" w:color="FFFFFF" w:sz="6"/>
              <w:left w:val="single" w:color="FFFFFF" w:sz="6"/>
              <w:bottom w:val="single" w:color="FFFFFF" w:sz="6"/>
              <w:right w:val="single" w:color="FFFFFF" w:sz="6"/>
            </w:tcBorders>
            <w:shd w:fill="2E75B6"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FFFFFF"/>
                <w:sz w:val="20"/>
                <w:szCs w:val="20"/>
              </w:rPr>
              <w:t xml:space="preserve">AVRIL 2026</w:t>
            </w:r>
          </w:p>
        </w:tc>
        <w:tc>
          <w:tcPr>
            <w:tcW w:type="dxa" w:w="4700"/>
            <w:gridSpan w:val="5"/>
            <w:tcBorders>
              <w:top w:val="single" w:color="FFFFFF" w:sz="6"/>
              <w:left w:val="single" w:color="FFFFFF" w:sz="6"/>
              <w:bottom w:val="single" w:color="FFFFFF" w:sz="6"/>
              <w:right w:val="single" w:color="FFFFFF" w:sz="6"/>
            </w:tcBorders>
            <w:shd w:fill="C55A11"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FFFFFF"/>
                <w:sz w:val="20"/>
                <w:szCs w:val="20"/>
              </w:rPr>
              <w:t xml:space="preserve">MAI 2026</w:t>
            </w:r>
          </w:p>
        </w:tc>
        <w:tc>
          <w:tcPr>
            <w:tcW w:type="dxa" w:w="3760"/>
            <w:gridSpan w:val="4"/>
            <w:tcBorders>
              <w:top w:val="single" w:color="FFFFFF" w:sz="6"/>
              <w:left w:val="single" w:color="FFFFFF" w:sz="6"/>
              <w:bottom w:val="single" w:color="FFFFFF" w:sz="6"/>
              <w:right w:val="single" w:color="FFFFFF" w:sz="6"/>
            </w:tcBorders>
            <w:shd w:fill="375623"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FFFFFF"/>
                <w:sz w:val="20"/>
                <w:szCs w:val="20"/>
              </w:rPr>
              <w:t xml:space="preserve">JUIN 2026</w:t>
            </w:r>
          </w:p>
        </w:tc>
      </w:tr>
      <w:tr>
        <w:tc>
          <w:tcPr>
            <w:tcW w:type="dxa" w:w="3000"/>
            <w:tcBorders>
              <w:top w:val="single" w:color="FFFFFF" w:sz="6"/>
              <w:left w:val="single" w:color="FFFFFF" w:sz="6"/>
              <w:bottom w:val="single" w:color="FFFFFF" w:sz="6"/>
              <w:right w:val="single" w:color="FFFFFF" w:sz="6"/>
            </w:tcBorders>
            <w:shd w:fill="1F3864"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FFFFFF"/>
                <w:sz w:val="20"/>
                <w:szCs w:val="20"/>
              </w:rPr>
              <w:t xml:space="preserve"/>
            </w:r>
          </w:p>
        </w:tc>
        <w:tc>
          <w:tcPr>
            <w:tcW w:type="dxa" w:w="940"/>
            <w:tcBorders>
              <w:top w:val="single" w:color="FFFFFF" w:sz="6"/>
              <w:left w:val="single" w:color="FFFFFF" w:sz="6"/>
              <w:bottom w:val="single" w:color="FFFFFF" w:sz="6"/>
              <w:right w:val="single" w:color="FFFFFF" w:sz="6"/>
            </w:tcBorders>
            <w:shd w:fill="2E75B6"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S1
1-7 avr</w:t>
            </w:r>
          </w:p>
        </w:tc>
        <w:tc>
          <w:tcPr>
            <w:tcW w:type="dxa" w:w="940"/>
            <w:tcBorders>
              <w:top w:val="single" w:color="FFFFFF" w:sz="6"/>
              <w:left w:val="single" w:color="FFFFFF" w:sz="6"/>
              <w:bottom w:val="single" w:color="FFFFFF" w:sz="6"/>
              <w:right w:val="single" w:color="FFFFFF" w:sz="6"/>
            </w:tcBorders>
            <w:shd w:fill="2E75B6"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S2
8-14 avr</w:t>
            </w:r>
          </w:p>
        </w:tc>
        <w:tc>
          <w:tcPr>
            <w:tcW w:type="dxa" w:w="940"/>
            <w:tcBorders>
              <w:top w:val="single" w:color="FFFFFF" w:sz="6"/>
              <w:left w:val="single" w:color="FFFFFF" w:sz="6"/>
              <w:bottom w:val="single" w:color="FFFFFF" w:sz="6"/>
              <w:right w:val="single" w:color="FFFFFF" w:sz="6"/>
            </w:tcBorders>
            <w:shd w:fill="2E75B6"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S3
15-21 avr</w:t>
            </w:r>
          </w:p>
        </w:tc>
        <w:tc>
          <w:tcPr>
            <w:tcW w:type="dxa" w:w="940"/>
            <w:tcBorders>
              <w:top w:val="single" w:color="FFFFFF" w:sz="6"/>
              <w:left w:val="single" w:color="FFFFFF" w:sz="6"/>
              <w:bottom w:val="single" w:color="FFFFFF" w:sz="6"/>
              <w:right w:val="single" w:color="FFFFFF" w:sz="6"/>
            </w:tcBorders>
            <w:shd w:fill="2E75B6"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S4
22-28 avr</w:t>
            </w:r>
          </w:p>
        </w:tc>
        <w:tc>
          <w:tcPr>
            <w:tcW w:type="dxa" w:w="940"/>
            <w:tcBorders>
              <w:top w:val="single" w:color="FFFFFF" w:sz="6"/>
              <w:left w:val="single" w:color="FFFFFF" w:sz="6"/>
              <w:bottom w:val="single" w:color="FFFFFF" w:sz="6"/>
              <w:right w:val="single" w:color="FFFFFF" w:sz="6"/>
            </w:tcBorders>
            <w:shd w:fill="C55A1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S5
29avr-5mai</w:t>
            </w:r>
          </w:p>
        </w:tc>
        <w:tc>
          <w:tcPr>
            <w:tcW w:type="dxa" w:w="940"/>
            <w:tcBorders>
              <w:top w:val="single" w:color="FFFFFF" w:sz="6"/>
              <w:left w:val="single" w:color="FFFFFF" w:sz="6"/>
              <w:bottom w:val="single" w:color="FFFFFF" w:sz="6"/>
              <w:right w:val="single" w:color="FFFFFF" w:sz="6"/>
            </w:tcBorders>
            <w:shd w:fill="C55A1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S6
6-12 mai</w:t>
            </w:r>
          </w:p>
        </w:tc>
        <w:tc>
          <w:tcPr>
            <w:tcW w:type="dxa" w:w="940"/>
            <w:tcBorders>
              <w:top w:val="single" w:color="FFFFFF" w:sz="6"/>
              <w:left w:val="single" w:color="FFFFFF" w:sz="6"/>
              <w:bottom w:val="single" w:color="FFFFFF" w:sz="6"/>
              <w:right w:val="single" w:color="FFFFFF" w:sz="6"/>
            </w:tcBorders>
            <w:shd w:fill="C55A1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S7
13-19 mai</w:t>
            </w:r>
          </w:p>
        </w:tc>
        <w:tc>
          <w:tcPr>
            <w:tcW w:type="dxa" w:w="940"/>
            <w:tcBorders>
              <w:top w:val="single" w:color="FFFFFF" w:sz="6"/>
              <w:left w:val="single" w:color="FFFFFF" w:sz="6"/>
              <w:bottom w:val="single" w:color="FFFFFF" w:sz="6"/>
              <w:right w:val="single" w:color="FFFFFF" w:sz="6"/>
            </w:tcBorders>
            <w:shd w:fill="C55A1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S8
20-26 mai</w:t>
            </w:r>
          </w:p>
        </w:tc>
        <w:tc>
          <w:tcPr>
            <w:tcW w:type="dxa" w:w="940"/>
            <w:tcBorders>
              <w:top w:val="single" w:color="FFFFFF" w:sz="6"/>
              <w:left w:val="single" w:color="FFFFFF" w:sz="6"/>
              <w:bottom w:val="single" w:color="FFFFFF" w:sz="6"/>
              <w:right w:val="single" w:color="FFFFFF" w:sz="6"/>
            </w:tcBorders>
            <w:shd w:fill="C55A1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S9
27mai-2jui</w:t>
            </w:r>
          </w:p>
        </w:tc>
        <w:tc>
          <w:tcPr>
            <w:tcW w:type="dxa" w:w="940"/>
            <w:tcBorders>
              <w:top w:val="single" w:color="FFFFFF" w:sz="6"/>
              <w:left w:val="single" w:color="FFFFFF" w:sz="6"/>
              <w:bottom w:val="single" w:color="FFFFFF" w:sz="6"/>
              <w:right w:val="single" w:color="FFFFFF" w:sz="6"/>
            </w:tcBorders>
            <w:shd w:fill="375623"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S10
3-9 jui</w:t>
            </w:r>
          </w:p>
        </w:tc>
        <w:tc>
          <w:tcPr>
            <w:tcW w:type="dxa" w:w="940"/>
            <w:tcBorders>
              <w:top w:val="single" w:color="FFFFFF" w:sz="6"/>
              <w:left w:val="single" w:color="FFFFFF" w:sz="6"/>
              <w:bottom w:val="single" w:color="FFFFFF" w:sz="6"/>
              <w:right w:val="single" w:color="FFFFFF" w:sz="6"/>
            </w:tcBorders>
            <w:shd w:fill="375623"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S11
10-16 jui</w:t>
            </w:r>
          </w:p>
        </w:tc>
        <w:tc>
          <w:tcPr>
            <w:tcW w:type="dxa" w:w="940"/>
            <w:tcBorders>
              <w:top w:val="single" w:color="FFFFFF" w:sz="6"/>
              <w:left w:val="single" w:color="FFFFFF" w:sz="6"/>
              <w:bottom w:val="single" w:color="FFFFFF" w:sz="6"/>
              <w:right w:val="single" w:color="FFFFFF" w:sz="6"/>
            </w:tcBorders>
            <w:shd w:fill="375623"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S12
17-23 jui</w:t>
            </w:r>
          </w:p>
        </w:tc>
        <w:tc>
          <w:tcPr>
            <w:tcW w:type="dxa" w:w="940"/>
            <w:tcBorders>
              <w:top w:val="single" w:color="FFFFFF" w:sz="6"/>
              <w:left w:val="single" w:color="FFFFFF" w:sz="6"/>
              <w:bottom w:val="single" w:color="FFFFFF" w:sz="6"/>
              <w:right w:val="single" w:color="FFFFFF" w:sz="6"/>
            </w:tcBorders>
            <w:shd w:fill="375623"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FFFFFF"/>
                <w:sz w:val="14"/>
                <w:szCs w:val="14"/>
              </w:rPr>
              <w:t xml:space="preserve">S13
24-30 jui</w:t>
            </w:r>
          </w:p>
        </w:tc>
      </w:tr>
      <w:tr>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pPr>
            <w:r>
              <w:rPr>
                <w:rFonts w:ascii="Calibri" w:cs="Calibri" w:eastAsia="Calibri" w:hAnsi="Calibri"/>
                <w:b/>
                <w:bCs/>
                <w:color w:val="1F3864"/>
                <w:sz w:val="18"/>
                <w:szCs w:val="18"/>
              </w:rPr>
              <w:t xml:space="preserve">Phase 1 — Analyse &amp; Conception
(Complétion : diagr. séquence + maquettes)</w:t>
            </w:r>
          </w:p>
        </w:tc>
        <w:tc>
          <w:tcPr>
            <w:tcW w:type="dxa" w:w="940"/>
            <w:tcBorders>
              <w:top w:val="single" w:color="CCCCCC" w:sz="4"/>
              <w:left w:val="single" w:color="CCCCCC" w:sz="4"/>
              <w:bottom w:val="single" w:color="CCCCCC" w:sz="4"/>
              <w:right w:val="single" w:color="CCCCCC" w:sz="4"/>
            </w:tcBorders>
            <w:shd w:fill="FFC000"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C000"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pPr>
            <w:r>
              <w:rPr>
                <w:rFonts w:ascii="Calibri" w:cs="Calibri" w:eastAsia="Calibri" w:hAnsi="Calibri"/>
                <w:b/>
                <w:bCs/>
                <w:color w:val="1F3864"/>
                <w:sz w:val="18"/>
                <w:szCs w:val="18"/>
              </w:rPr>
              <w:t xml:space="preserve">Phase 2 — Mise en place environnement
(Docker, Symfony 7, Next.js 14, MySQL 8)</w:t>
            </w: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r>
      <w:tr>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pPr>
            <w:r>
              <w:rPr>
                <w:rFonts w:ascii="Calibri" w:cs="Calibri" w:eastAsia="Calibri" w:hAnsi="Calibri"/>
                <w:b/>
                <w:bCs/>
                <w:color w:val="1F3864"/>
                <w:sz w:val="18"/>
                <w:szCs w:val="18"/>
              </w:rPr>
              <w:t xml:space="preserve">Phase 3 — Développement Backend
(Auth, Abonnement, Catalogue, Studio, Vidéo, Admin)</w:t>
            </w: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pPr>
            <w:r>
              <w:rPr>
                <w:rFonts w:ascii="Calibri" w:cs="Calibri" w:eastAsia="Calibri" w:hAnsi="Calibri"/>
                <w:b/>
                <w:bCs/>
                <w:color w:val="1F3864"/>
                <w:sz w:val="18"/>
                <w:szCs w:val="18"/>
              </w:rPr>
              <w:t xml:space="preserve">Phase 4 — Développement Frontend
(Pages publiques, Espace abonné, Studio, Admin)</w:t>
            </w: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r>
      <w:tr>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pPr>
            <w:r>
              <w:rPr>
                <w:rFonts w:ascii="Calibri" w:cs="Calibri" w:eastAsia="Calibri" w:hAnsi="Calibri"/>
                <w:b/>
                <w:bCs/>
                <w:color w:val="1F3864"/>
                <w:sz w:val="18"/>
                <w:szCs w:val="18"/>
              </w:rPr>
              <w:t xml:space="preserve">Phase 5 — Tests &amp; Déploiement
(Unitaires, intégration, fonctionnels, recette)</w:t>
            </w: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pPr>
            <w:r>
              <w:rPr>
                <w:rFonts w:ascii="Calibri" w:cs="Calibri" w:eastAsia="Calibri" w:hAnsi="Calibri"/>
                <w:b/>
                <w:bCs/>
                <w:color w:val="1F3864"/>
                <w:sz w:val="18"/>
                <w:szCs w:val="18"/>
              </w:rPr>
              <w:t xml:space="preserve">Phase 6 — Rédaction du rapport TFE
(Introduction, Analyse, Développement, Conclusion)</w:t>
            </w: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r>
      <w:tr>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pPr>
            <w:r>
              <w:rPr>
                <w:rFonts w:ascii="Calibri" w:cs="Calibri" w:eastAsia="Calibri" w:hAnsi="Calibri"/>
                <w:b/>
                <w:bCs/>
                <w:color w:val="1F3864"/>
                <w:sz w:val="18"/>
                <w:szCs w:val="18"/>
              </w:rPr>
              <w:t xml:space="preserve">Phase 7 — Finalisation &amp; Soumission ISL
(Relecture, mise en forme, soumission, oral)</w:t>
            </w: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FFFFFF"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c>
          <w:tcPr>
            <w:tcW w:type="dxa" w:w="940"/>
            <w:tcBorders>
              <w:top w:val="single" w:color="CCCCCC" w:sz="4"/>
              <w:left w:val="single" w:color="CCCCCC" w:sz="4"/>
              <w:bottom w:val="single" w:color="CCCCCC" w:sz="4"/>
              <w:right w:val="single" w:color="CCCCCC" w:sz="4"/>
            </w:tcBorders>
            <w:shd w:fill="4472C4" w:val="clear"/>
            <w:tcMar>
              <w:top w:type="dxa" w:w="60"/>
              <w:left w:type="dxa" w:w="40"/>
              <w:bottom w:type="dxa" w:w="60"/>
              <w:right w:type="dxa" w:w="40"/>
            </w:tcMar>
            <w:vAlign w:val="center"/>
          </w:tcPr>
          <w:p>
            <w:pPr>
              <w:spacing w:after="0" w:before="0"/>
            </w:pPr>
          </w:p>
        </w:tc>
      </w:tr>
    </w:tbl>
    <w:p>
      <w:pPr>
        <w:spacing w:after="80" w:before="80"/>
      </w:pPr>
    </w:p>
    <w:p>
      <w:pPr>
        <w:spacing w:after="100" w:before="100"/>
      </w:pPr>
      <w:r>
        <w:rPr>
          <w:rFonts w:ascii="Calibri" w:cs="Calibri" w:eastAsia="Calibri" w:hAnsi="Calibri"/>
          <w:b/>
          <w:bCs/>
          <w:color w:val="1F3864"/>
          <w:sz w:val="20"/>
          <w:szCs w:val="20"/>
        </w:rPr>
        <w:t xml:space="preserve">Légende :</w:t>
      </w:r>
    </w:p>
    <w:tbl>
      <w:tblPr>
        <w:tblW w:type="dxa" w:w="15220"/>
        <w:tblBorders>
          <w:top w:val="single" w:color="auto" w:sz="4"/>
          <w:left w:val="single" w:color="auto" w:sz="4"/>
          <w:bottom w:val="single" w:color="auto" w:sz="4"/>
          <w:right w:val="single" w:color="auto" w:sz="4"/>
          <w:insideH w:val="single" w:color="auto" w:sz="4"/>
          <w:insideV w:val="single" w:color="auto" w:sz="4"/>
        </w:tblBorders>
      </w:tblPr>
      <w:tblGrid>
        <w:gridCol w:w="3805"/>
        <w:gridCol w:w="3805"/>
        <w:gridCol w:w="3805"/>
        <w:gridCol w:w="3805"/>
      </w:tblGrid>
      <w:tr>
        <w:tc>
          <w:tcPr>
            <w:tcW w:type="dxa" w:w="3805"/>
            <w:tcBorders>
              <w:top w:val="single" w:color="CCCCCC" w:sz="4"/>
              <w:left w:val="single" w:color="CCCCCC" w:sz="4"/>
              <w:bottom w:val="single" w:color="CCCCCC" w:sz="4"/>
              <w:right w:val="single" w:color="CCCCCC" w:sz="4"/>
            </w:tcBorders>
            <w:shd w:fill="4472C4" w:val="clear"/>
            <w:tcMar>
              <w:top w:type="dxa" w:w="70"/>
              <w:left w:type="dxa" w:w="120"/>
              <w:bottom w:type="dxa" w:w="70"/>
              <w:right w:type="dxa" w:w="80"/>
            </w:tcMar>
          </w:tcPr>
          <w:p>
            <w:r>
              <w:rPr>
                <w:rFonts w:ascii="Calibri" w:cs="Calibri" w:eastAsia="Calibri" w:hAnsi="Calibri"/>
                <w:b/>
                <w:bCs/>
                <w:color w:val="FFFFFF"/>
                <w:sz w:val="18"/>
                <w:szCs w:val="18"/>
              </w:rPr>
              <w:t xml:space="preserve">   En développement</w:t>
            </w:r>
          </w:p>
        </w:tc>
        <w:tc>
          <w:tcPr>
            <w:tcW w:type="dxa" w:w="3805"/>
            <w:tcBorders>
              <w:top w:val="single" w:color="CCCCCC" w:sz="4"/>
              <w:left w:val="single" w:color="CCCCCC" w:sz="4"/>
              <w:bottom w:val="single" w:color="CCCCCC" w:sz="4"/>
              <w:right w:val="single" w:color="CCCCCC" w:sz="4"/>
            </w:tcBorders>
            <w:shd w:fill="FFC000" w:val="clear"/>
            <w:tcMar>
              <w:top w:type="dxa" w:w="70"/>
              <w:left w:type="dxa" w:w="120"/>
              <w:bottom w:type="dxa" w:w="70"/>
              <w:right w:type="dxa" w:w="80"/>
            </w:tcMar>
          </w:tcPr>
          <w:p>
            <w:r>
              <w:rPr>
                <w:rFonts w:ascii="Calibri" w:cs="Calibri" w:eastAsia="Calibri" w:hAnsi="Calibri"/>
                <w:b/>
                <w:bCs/>
                <w:color w:val="FFFFFF"/>
                <w:sz w:val="18"/>
                <w:szCs w:val="18"/>
              </w:rPr>
              <w:t xml:space="preserve">   Démarrage / Complétion</w:t>
            </w:r>
          </w:p>
        </w:tc>
        <w:tc>
          <w:tcPr>
            <w:tcW w:type="dxa" w:w="3805"/>
            <w:tcBorders>
              <w:top w:val="single" w:color="CCCCCC" w:sz="4"/>
              <w:left w:val="single" w:color="CCCCCC" w:sz="4"/>
              <w:bottom w:val="single" w:color="CCCCCC" w:sz="4"/>
              <w:right w:val="single" w:color="CCCCCC" w:sz="4"/>
            </w:tcBorders>
            <w:shd w:fill="70AD47" w:val="clear"/>
            <w:tcMar>
              <w:top w:type="dxa" w:w="70"/>
              <w:left w:type="dxa" w:w="120"/>
              <w:bottom w:type="dxa" w:w="70"/>
              <w:right w:type="dxa" w:w="80"/>
            </w:tcMar>
          </w:tcPr>
          <w:p>
            <w:r>
              <w:rPr>
                <w:rFonts w:ascii="Calibri" w:cs="Calibri" w:eastAsia="Calibri" w:hAnsi="Calibri"/>
                <w:b/>
                <w:bCs/>
                <w:color w:val="FFFFFF"/>
                <w:sz w:val="18"/>
                <w:szCs w:val="18"/>
              </w:rPr>
              <w:t xml:space="preserve">   Terminé</w:t>
            </w:r>
          </w:p>
        </w:tc>
        <w:tc>
          <w:tcPr>
            <w:tcW w:type="dxa" w:w="380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r>
              <w:rPr>
                <w:rFonts w:ascii="Calibri" w:cs="Calibri" w:eastAsia="Calibri" w:hAnsi="Calibri"/>
                <w:b/>
                <w:bCs/>
                <w:color w:val="595959"/>
                <w:sz w:val="18"/>
                <w:szCs w:val="18"/>
              </w:rPr>
              <w:t xml:space="preserve">   Non démarré</w:t>
            </w:r>
          </w:p>
        </w:tc>
      </w:tr>
    </w:tbl>
    <w:p>
      <w:pPr>
        <w:sectPr>
          <w:headerReference w:type="default" r:id="rId7"/>
          <w:footerReference w:type="default" r:id="rId8"/>
          <w:pgSz w:w="16838" w:h="11906" w:orient="landscape"/>
          <w:pgMar w:top="720" w:right="720" w:bottom="720" w:left="720" w:header="708" w:footer="708" w:gutter="0"/>
          <w:pgNumType/>
          <w:docGrid w:linePitch="360"/>
        </w:sectPr>
      </w:pPr>
    </w:p>
    <w:p>
      <w:pPr>
        <w:pBdr>
          <w:bottom w:val="single" w:color="2E75B6" w:sz="10" w:space="4"/>
        </w:pBdr>
        <w:spacing w:after="180" w:before="440"/>
      </w:pPr>
      <w:r>
        <w:rPr>
          <w:rFonts w:ascii="Calibri" w:cs="Calibri" w:eastAsia="Calibri" w:hAnsi="Calibri"/>
          <w:b/>
          <w:bCs/>
          <w:color w:val="1F3864"/>
          <w:sz w:val="36"/>
          <w:szCs w:val="36"/>
        </w:rPr>
        <w:t xml:space="preserve">2. DESCRIPTION DÉTAILLÉE DES PHASES</w:t>
      </w:r>
    </w:p>
    <w:p>
      <w:pPr>
        <w:spacing w:after="40" w:before="40"/>
      </w:pPr>
    </w:p>
    <w:p>
      <w:pPr>
        <w:spacing w:after="120" w:before="320"/>
      </w:pPr>
      <w:r>
        <w:rPr>
          <w:rFonts w:ascii="Calibri" w:cs="Calibri" w:eastAsia="Calibri" w:hAnsi="Calibri"/>
          <w:b/>
          <w:bCs/>
          <w:color w:val="2E75B6"/>
          <w:sz w:val="28"/>
          <w:szCs w:val="28"/>
        </w:rPr>
        <w:t xml:space="preserve">PHASE 1 — Analyse &amp; Conception</w:t>
      </w:r>
    </w:p>
    <w:p>
      <w:pPr>
        <w:spacing w:after="120" w:before="60"/>
      </w:pPr>
      <w:r>
        <w:rPr>
          <w:rFonts w:ascii="Calibri" w:cs="Calibri" w:eastAsia="Calibri" w:hAnsi="Calibri"/>
          <w:b/>
          <w:bCs/>
          <w:color w:val="595959"/>
          <w:sz w:val="21"/>
          <w:szCs w:val="21"/>
        </w:rPr>
        <w:t xml:space="preserve">Statut : </w:t>
      </w:r>
      <w:r>
        <w:rPr>
          <w:rFonts w:ascii="Calibri" w:cs="Calibri" w:eastAsia="Calibri" w:hAnsi="Calibri"/>
          <w:b/>
          <w:bCs/>
          <w:color w:val="70AD47"/>
          <w:sz w:val="21"/>
          <w:szCs w:val="21"/>
        </w:rPr>
        <w:t xml:space="preserve">80% TERMINÉE</w:t>
      </w:r>
      <w:r>
        <w:rPr>
          <w:rFonts w:ascii="Calibri" w:cs="Calibri" w:eastAsia="Calibri" w:hAnsi="Calibri"/>
          <w:color w:val="595959"/>
          <w:sz w:val="21"/>
          <w:szCs w:val="21"/>
        </w:rPr>
        <w:t xml:space="preserve">   |   Période : </w:t>
      </w:r>
      <w:r>
        <w:rPr>
          <w:rFonts w:ascii="Calibri" w:cs="Calibri" w:eastAsia="Calibri" w:hAnsi="Calibri"/>
          <w:b/>
          <w:bCs/>
          <w:color w:val="1F3864"/>
          <w:sz w:val="21"/>
          <w:szCs w:val="21"/>
        </w:rPr>
        <w:t xml:space="preserve">Semaines 1-2  (1 — 14 avril 2026)</w:t>
      </w:r>
      <w:r>
        <w:rPr>
          <w:rFonts w:ascii="Calibri" w:cs="Calibri" w:eastAsia="Calibri" w:hAnsi="Calibri"/>
          <w:color w:val="595959"/>
          <w:sz w:val="21"/>
          <w:szCs w:val="21"/>
        </w:rPr>
        <w:t xml:space="preserve">   |   Durée : </w:t>
      </w:r>
      <w:r>
        <w:rPr>
          <w:rFonts w:ascii="Calibri" w:cs="Calibri" w:eastAsia="Calibri" w:hAnsi="Calibri"/>
          <w:color w:val="595959"/>
          <w:sz w:val="21"/>
          <w:szCs w:val="21"/>
        </w:rPr>
        <w:t xml:space="preserve">2 semaines (complétion des éléments restants)</w:t>
      </w:r>
    </w:p>
    <w:p>
      <w:pPr>
        <w:spacing w:after="60" w:before="60"/>
      </w:pPr>
      <w:r>
        <w:rPr>
          <w:rFonts w:ascii="Calibri" w:cs="Calibri" w:eastAsia="Calibri" w:hAnsi="Calibri"/>
          <w:i/>
          <w:iCs/>
          <w:color w:val="595959"/>
          <w:sz w:val="21"/>
          <w:szCs w:val="21"/>
        </w:rPr>
        <w:t xml:space="preserve">La grande majorité de la phase d'analyse est déjà réalisée. Il reste à compléter les diagrammes de séquence UML et à réaliser les maquettes UI/UX afin de disposer d'une vision complète de l'interface avant de démarrer le développement.</w:t>
      </w:r>
    </w:p>
    <w:p>
      <w:pPr>
        <w:spacing w:after="80" w:before="220"/>
      </w:pPr>
      <w:r>
        <w:rPr>
          <w:rFonts w:ascii="Calibri" w:cs="Calibri" w:eastAsia="Calibri" w:hAnsi="Calibri"/>
          <w:b/>
          <w:bCs/>
          <w:color w:val="1F3864"/>
          <w:sz w:val="24"/>
          <w:szCs w:val="24"/>
        </w:rPr>
        <w:t xml:space="preserve">Objectifs</w:t>
      </w:r>
    </w:p>
    <w:p>
      <w:pPr>
        <w:pStyle w:val="ListParagraph"/>
        <w:numPr>
          <w:ilvl w:val="0"/>
          <w:numId w:val="2"/>
        </w:numPr>
        <w:spacing w:after="40" w:before="40"/>
      </w:pPr>
      <w:r>
        <w:rPr>
          <w:rFonts w:ascii="Calibri" w:cs="Calibri" w:eastAsia="Calibri" w:hAnsi="Calibri"/>
          <w:color w:val="595959"/>
          <w:sz w:val="21"/>
          <w:szCs w:val="21"/>
        </w:rPr>
        <w:t xml:space="preserve">Finaliser les diagrammes de séquence UML pour tous les modules principaux.</w:t>
      </w:r>
    </w:p>
    <w:p>
      <w:pPr>
        <w:pStyle w:val="ListParagraph"/>
        <w:numPr>
          <w:ilvl w:val="0"/>
          <w:numId w:val="2"/>
        </w:numPr>
        <w:spacing w:after="40" w:before="40"/>
      </w:pPr>
      <w:r>
        <w:rPr>
          <w:rFonts w:ascii="Calibri" w:cs="Calibri" w:eastAsia="Calibri" w:hAnsi="Calibri"/>
          <w:color w:val="595959"/>
          <w:sz w:val="21"/>
          <w:szCs w:val="21"/>
        </w:rPr>
        <w:t xml:space="preserve">Réaliser les maquettes UI/UX et wireframes (Figma ou équivalent).</w:t>
      </w:r>
    </w:p>
    <w:p>
      <w:pPr>
        <w:pStyle w:val="ListParagraph"/>
        <w:numPr>
          <w:ilvl w:val="0"/>
          <w:numId w:val="2"/>
        </w:numPr>
        <w:spacing w:after="40" w:before="40"/>
      </w:pPr>
      <w:r>
        <w:rPr>
          <w:rFonts w:ascii="Calibri" w:cs="Calibri" w:eastAsia="Calibri" w:hAnsi="Calibri"/>
          <w:color w:val="595959"/>
          <w:sz w:val="21"/>
          <w:szCs w:val="21"/>
        </w:rPr>
        <w:t xml:space="preserve">Valider l'architecture globale de CINAF v2 avant le démarrage du développement.</w:t>
      </w:r>
    </w:p>
    <w:p>
      <w:pPr>
        <w:spacing w:after="80" w:before="220"/>
      </w:pPr>
      <w:r>
        <w:rPr>
          <w:rFonts w:ascii="Calibri" w:cs="Calibri" w:eastAsia="Calibri" w:hAnsi="Calibri"/>
          <w:b/>
          <w:bCs/>
          <w:color w:val="1F3864"/>
          <w:sz w:val="24"/>
          <w:szCs w:val="24"/>
        </w:rPr>
        <w:t xml:space="preserve">Réalisations (déjà effectuées)</w:t>
      </w:r>
    </w:p>
    <w:p>
      <w:pPr>
        <w:pStyle w:val="ListParagraph"/>
        <w:numPr>
          <w:ilvl w:val="0"/>
          <w:numId w:val="2"/>
        </w:numPr>
        <w:spacing w:after="40" w:before="40"/>
      </w:pPr>
      <w:r>
        <w:rPr>
          <w:rFonts w:ascii="Calibri" w:cs="Calibri" w:eastAsia="Calibri" w:hAnsi="Calibri"/>
          <w:color w:val="70AD47"/>
          <w:sz w:val="21"/>
          <w:szCs w:val="21"/>
        </w:rPr>
        <w:t xml:space="preserve">Dossier d'analyse complet</w:t>
      </w:r>
    </w:p>
    <w:p>
      <w:pPr>
        <w:pStyle w:val="ListParagraph"/>
        <w:numPr>
          <w:ilvl w:val="0"/>
          <w:numId w:val="2"/>
        </w:numPr>
        <w:spacing w:after="40" w:before="40"/>
      </w:pPr>
      <w:r>
        <w:rPr>
          <w:rFonts w:ascii="Calibri" w:cs="Calibri" w:eastAsia="Calibri" w:hAnsi="Calibri"/>
          <w:color w:val="70AD47"/>
          <w:sz w:val="21"/>
          <w:szCs w:val="21"/>
        </w:rPr>
        <w:t xml:space="preserve">Cahier des charges détaillé</w:t>
      </w:r>
    </w:p>
    <w:p>
      <w:pPr>
        <w:pStyle w:val="ListParagraph"/>
        <w:numPr>
          <w:ilvl w:val="0"/>
          <w:numId w:val="2"/>
        </w:numPr>
        <w:spacing w:after="40" w:before="40"/>
      </w:pPr>
      <w:r>
        <w:rPr>
          <w:rFonts w:ascii="Calibri" w:cs="Calibri" w:eastAsia="Calibri" w:hAnsi="Calibri"/>
          <w:color w:val="70AD47"/>
          <w:sz w:val="21"/>
          <w:szCs w:val="21"/>
        </w:rPr>
        <w:t xml:space="preserve">Diagrammes BPMN (processus métier)</w:t>
      </w:r>
    </w:p>
    <w:p>
      <w:pPr>
        <w:pStyle w:val="ListParagraph"/>
        <w:numPr>
          <w:ilvl w:val="0"/>
          <w:numId w:val="2"/>
        </w:numPr>
        <w:spacing w:after="40" w:before="40"/>
      </w:pPr>
      <w:r>
        <w:rPr>
          <w:rFonts w:ascii="Calibri" w:cs="Calibri" w:eastAsia="Calibri" w:hAnsi="Calibri"/>
          <w:color w:val="70AD47"/>
          <w:sz w:val="21"/>
          <w:szCs w:val="21"/>
        </w:rPr>
        <w:t xml:space="preserve">Diagrammes UML Use Case</w:t>
      </w:r>
    </w:p>
    <w:p>
      <w:pPr>
        <w:pStyle w:val="ListParagraph"/>
        <w:numPr>
          <w:ilvl w:val="0"/>
          <w:numId w:val="2"/>
        </w:numPr>
        <w:spacing w:after="40" w:before="40"/>
      </w:pPr>
      <w:r>
        <w:rPr>
          <w:rFonts w:ascii="Calibri" w:cs="Calibri" w:eastAsia="Calibri" w:hAnsi="Calibri"/>
          <w:color w:val="70AD47"/>
          <w:sz w:val="21"/>
          <w:szCs w:val="21"/>
        </w:rPr>
        <w:t xml:space="preserve">Diagrammes de classes UML</w:t>
      </w:r>
    </w:p>
    <w:p>
      <w:pPr>
        <w:pStyle w:val="ListParagraph"/>
        <w:numPr>
          <w:ilvl w:val="0"/>
          <w:numId w:val="2"/>
        </w:numPr>
        <w:spacing w:after="40" w:before="40"/>
      </w:pPr>
      <w:r>
        <w:rPr>
          <w:rFonts w:ascii="Calibri" w:cs="Calibri" w:eastAsia="Calibri" w:hAnsi="Calibri"/>
          <w:color w:val="70AD47"/>
          <w:sz w:val="21"/>
          <w:szCs w:val="21"/>
        </w:rPr>
        <w:t xml:space="preserve">Schéma de base de données (MySQL 8)</w:t>
      </w:r>
    </w:p>
    <w:p>
      <w:pPr>
        <w:spacing w:after="80" w:before="220"/>
      </w:pPr>
      <w:r>
        <w:rPr>
          <w:rFonts w:ascii="Calibri" w:cs="Calibri" w:eastAsia="Calibri" w:hAnsi="Calibri"/>
          <w:b/>
          <w:bCs/>
          <w:color w:val="1F3864"/>
          <w:sz w:val="24"/>
          <w:szCs w:val="24"/>
        </w:rPr>
        <w:t xml:space="preserve">Tâches restantes</w:t>
      </w:r>
    </w:p>
    <w:p>
      <w:pPr>
        <w:pStyle w:val="ListParagraph"/>
        <w:numPr>
          <w:ilvl w:val="0"/>
          <w:numId w:val="2"/>
        </w:numPr>
        <w:spacing w:after="40" w:before="40"/>
      </w:pPr>
      <w:r>
        <w:rPr>
          <w:rFonts w:ascii="Calibri" w:cs="Calibri" w:eastAsia="Calibri" w:hAnsi="Calibri"/>
          <w:color w:val="595959"/>
          <w:sz w:val="21"/>
          <w:szCs w:val="21"/>
        </w:rPr>
        <w:t xml:space="preserve">Diagrammes de séquence UML — à compléter pour les modules Auth, Paiement, Catalogue</w:t>
      </w:r>
    </w:p>
    <w:p>
      <w:pPr>
        <w:pStyle w:val="ListParagraph"/>
        <w:numPr>
          <w:ilvl w:val="0"/>
          <w:numId w:val="2"/>
        </w:numPr>
        <w:spacing w:after="40" w:before="40"/>
      </w:pPr>
      <w:r>
        <w:rPr>
          <w:rFonts w:ascii="Calibri" w:cs="Calibri" w:eastAsia="Calibri" w:hAnsi="Calibri"/>
          <w:color w:val="595959"/>
          <w:sz w:val="21"/>
          <w:szCs w:val="21"/>
        </w:rPr>
        <w:t xml:space="preserve">Maquettes UI/UX et wireframes — à réaliser pour toutes les interfaces principales</w:t>
      </w:r>
    </w:p>
    <w:p>
      <w:pPr>
        <w:spacing w:after="80" w:before="220"/>
      </w:pPr>
      <w:r>
        <w:rPr>
          <w:rFonts w:ascii="Calibri" w:cs="Calibri" w:eastAsia="Calibri" w:hAnsi="Calibri"/>
          <w:b/>
          <w:bCs/>
          <w:color w:val="1F3864"/>
          <w:sz w:val="24"/>
          <w:szCs w:val="24"/>
        </w:rPr>
        <w:t xml:space="preserve">Livrables attendus</w:t>
      </w:r>
    </w:p>
    <w:p>
      <w:pPr>
        <w:pStyle w:val="ListParagraph"/>
        <w:numPr>
          <w:ilvl w:val="0"/>
          <w:numId w:val="2"/>
        </w:numPr>
        <w:spacing w:after="40" w:before="40"/>
      </w:pPr>
      <w:r>
        <w:rPr>
          <w:rFonts w:ascii="Calibri" w:cs="Calibri" w:eastAsia="Calibri" w:hAnsi="Calibri"/>
          <w:b/>
          <w:bCs/>
          <w:color w:val="2E75B6"/>
          <w:sz w:val="21"/>
          <w:szCs w:val="21"/>
        </w:rPr>
        <w:t xml:space="preserve">Diagrammes de séquence UML finalisés</w:t>
      </w:r>
    </w:p>
    <w:p>
      <w:pPr>
        <w:pStyle w:val="ListParagraph"/>
        <w:numPr>
          <w:ilvl w:val="0"/>
          <w:numId w:val="2"/>
        </w:numPr>
        <w:spacing w:after="40" w:before="40"/>
      </w:pPr>
      <w:r>
        <w:rPr>
          <w:rFonts w:ascii="Calibri" w:cs="Calibri" w:eastAsia="Calibri" w:hAnsi="Calibri"/>
          <w:b/>
          <w:bCs/>
          <w:color w:val="2E75B6"/>
          <w:sz w:val="21"/>
          <w:szCs w:val="21"/>
        </w:rPr>
        <w:t xml:space="preserve">Maquettes UI/UX (wireframes)</w:t>
      </w:r>
    </w:p>
    <w:p>
      <w:pPr>
        <w:spacing w:after="90" w:before="90"/>
      </w:pPr>
    </w:p>
    <w:p>
      <w:pPr>
        <w:spacing w:after="120" w:before="320"/>
      </w:pPr>
      <w:r>
        <w:rPr>
          <w:rFonts w:ascii="Calibri" w:cs="Calibri" w:eastAsia="Calibri" w:hAnsi="Calibri"/>
          <w:b/>
          <w:bCs/>
          <w:color w:val="2E75B6"/>
          <w:sz w:val="28"/>
          <w:szCs w:val="28"/>
        </w:rPr>
        <w:t xml:space="preserve">PHASE 2 — Mise en place de l'environnement</w:t>
      </w:r>
    </w:p>
    <w:p>
      <w:pPr>
        <w:spacing w:after="120" w:before="60"/>
      </w:pPr>
      <w:r>
        <w:rPr>
          <w:rFonts w:ascii="Calibri" w:cs="Calibri" w:eastAsia="Calibri" w:hAnsi="Calibri"/>
          <w:b/>
          <w:bCs/>
          <w:color w:val="595959"/>
          <w:sz w:val="21"/>
          <w:szCs w:val="21"/>
        </w:rPr>
        <w:t xml:space="preserve">Statut : </w:t>
      </w:r>
      <w:r>
        <w:rPr>
          <w:rFonts w:ascii="Calibri" w:cs="Calibri" w:eastAsia="Calibri" w:hAnsi="Calibri"/>
          <w:b/>
          <w:bCs/>
          <w:color w:val="2E75B6"/>
          <w:sz w:val="21"/>
          <w:szCs w:val="21"/>
        </w:rPr>
        <w:t xml:space="preserve">À DÉMARRER</w:t>
      </w:r>
      <w:r>
        <w:rPr>
          <w:rFonts w:ascii="Calibri" w:cs="Calibri" w:eastAsia="Calibri" w:hAnsi="Calibri"/>
          <w:color w:val="595959"/>
          <w:sz w:val="21"/>
          <w:szCs w:val="21"/>
        </w:rPr>
        <w:t xml:space="preserve">   |   Période : </w:t>
      </w:r>
      <w:r>
        <w:rPr>
          <w:rFonts w:ascii="Calibri" w:cs="Calibri" w:eastAsia="Calibri" w:hAnsi="Calibri"/>
          <w:b/>
          <w:bCs/>
          <w:color w:val="1F3864"/>
          <w:sz w:val="21"/>
          <w:szCs w:val="21"/>
        </w:rPr>
        <w:t xml:space="preserve">Semaines 1-3  (1 — 21 avril 2026)</w:t>
      </w:r>
      <w:r>
        <w:rPr>
          <w:rFonts w:ascii="Calibri" w:cs="Calibri" w:eastAsia="Calibri" w:hAnsi="Calibri"/>
          <w:color w:val="595959"/>
          <w:sz w:val="21"/>
          <w:szCs w:val="21"/>
        </w:rPr>
        <w:t xml:space="preserve">   |   Durée : </w:t>
      </w:r>
      <w:r>
        <w:rPr>
          <w:rFonts w:ascii="Calibri" w:cs="Calibri" w:eastAsia="Calibri" w:hAnsi="Calibri"/>
          <w:color w:val="595959"/>
          <w:sz w:val="21"/>
          <w:szCs w:val="21"/>
        </w:rPr>
        <w:t xml:space="preserve">3 semaines</w:t>
      </w:r>
    </w:p>
    <w:p>
      <w:pPr>
        <w:spacing w:after="60" w:before="60"/>
      </w:pPr>
      <w:r>
        <w:rPr>
          <w:rFonts w:ascii="Calibri" w:cs="Calibri" w:eastAsia="Calibri" w:hAnsi="Calibri"/>
          <w:i/>
          <w:iCs/>
          <w:color w:val="595959"/>
          <w:sz w:val="21"/>
          <w:szCs w:val="21"/>
        </w:rPr>
        <w:t xml:space="preserve">Cette phase s'effectue en parallèle de la complétion de la Phase 1. La mise en place de l'environnement est un prérequis indispensable pour démarrer le développement dès la deuxième semaine d'avril.</w:t>
      </w:r>
    </w:p>
    <w:p>
      <w:pPr>
        <w:spacing w:after="80" w:before="220"/>
      </w:pPr>
      <w:r>
        <w:rPr>
          <w:rFonts w:ascii="Calibri" w:cs="Calibri" w:eastAsia="Calibri" w:hAnsi="Calibri"/>
          <w:b/>
          <w:bCs/>
          <w:color w:val="1F3864"/>
          <w:sz w:val="24"/>
          <w:szCs w:val="24"/>
        </w:rPr>
        <w:t xml:space="preserve">Objectifs</w:t>
      </w:r>
    </w:p>
    <w:p>
      <w:pPr>
        <w:pStyle w:val="ListParagraph"/>
        <w:numPr>
          <w:ilvl w:val="0"/>
          <w:numId w:val="2"/>
        </w:numPr>
        <w:spacing w:after="40" w:before="40"/>
      </w:pPr>
      <w:r>
        <w:rPr>
          <w:rFonts w:ascii="Calibri" w:cs="Calibri" w:eastAsia="Calibri" w:hAnsi="Calibri"/>
          <w:color w:val="595959"/>
          <w:sz w:val="21"/>
          <w:szCs w:val="21"/>
        </w:rPr>
        <w:t xml:space="preserve">Configurer l'environnement de développement complet via Docker.</w:t>
      </w:r>
    </w:p>
    <w:p>
      <w:pPr>
        <w:pStyle w:val="ListParagraph"/>
        <w:numPr>
          <w:ilvl w:val="0"/>
          <w:numId w:val="2"/>
        </w:numPr>
        <w:spacing w:after="40" w:before="40"/>
      </w:pPr>
      <w:r>
        <w:rPr>
          <w:rFonts w:ascii="Calibri" w:cs="Calibri" w:eastAsia="Calibri" w:hAnsi="Calibri"/>
          <w:color w:val="595959"/>
          <w:sz w:val="21"/>
          <w:szCs w:val="21"/>
        </w:rPr>
        <w:t xml:space="preserve">Initialiser les projets Symfony 7 (backend) et Next.js 14 (frontend).</w:t>
      </w:r>
    </w:p>
    <w:p>
      <w:pPr>
        <w:pStyle w:val="ListParagraph"/>
        <w:numPr>
          <w:ilvl w:val="0"/>
          <w:numId w:val="2"/>
        </w:numPr>
        <w:spacing w:after="40" w:before="40"/>
      </w:pPr>
      <w:r>
        <w:rPr>
          <w:rFonts w:ascii="Calibri" w:cs="Calibri" w:eastAsia="Calibri" w:hAnsi="Calibri"/>
          <w:color w:val="595959"/>
          <w:sz w:val="21"/>
          <w:szCs w:val="21"/>
        </w:rPr>
        <w:t xml:space="preserve">Intégrer les services tiers : Bunny.net (vidéo), Stripe (paiement).</w:t>
      </w:r>
    </w:p>
    <w:p>
      <w:pPr>
        <w:pStyle w:val="ListParagraph"/>
        <w:numPr>
          <w:ilvl w:val="0"/>
          <w:numId w:val="2"/>
        </w:numPr>
        <w:spacing w:after="40" w:before="40"/>
      </w:pPr>
      <w:r>
        <w:rPr>
          <w:rFonts w:ascii="Calibri" w:cs="Calibri" w:eastAsia="Calibri" w:hAnsi="Calibri"/>
          <w:color w:val="595959"/>
          <w:sz w:val="21"/>
          <w:szCs w:val="21"/>
        </w:rPr>
        <w:t xml:space="preserve">Mettre en place la stratégie de versioning GitHub.</w:t>
      </w:r>
    </w:p>
    <w:p>
      <w:pPr>
        <w:spacing w:after="80" w:before="220"/>
      </w:pPr>
      <w:r>
        <w:rPr>
          <w:rFonts w:ascii="Calibri" w:cs="Calibri" w:eastAsia="Calibri" w:hAnsi="Calibri"/>
          <w:b/>
          <w:bCs/>
          <w:color w:val="1F3864"/>
          <w:sz w:val="24"/>
          <w:szCs w:val="24"/>
        </w:rPr>
        <w:t xml:space="preserve">Tâches à réaliser</w:t>
      </w:r>
    </w:p>
    <w:p>
      <w:pPr>
        <w:pStyle w:val="ListParagraph"/>
        <w:numPr>
          <w:ilvl w:val="0"/>
          <w:numId w:val="2"/>
        </w:numPr>
        <w:spacing w:after="40" w:before="40"/>
      </w:pPr>
      <w:r>
        <w:rPr>
          <w:rFonts w:ascii="Calibri" w:cs="Calibri" w:eastAsia="Calibri" w:hAnsi="Calibri"/>
          <w:color w:val="595959"/>
          <w:sz w:val="21"/>
          <w:szCs w:val="21"/>
        </w:rPr>
        <w:t xml:space="preserve">Configuration Docker (conteneurisation, docker-compose, environnements dev/prod)</w:t>
      </w:r>
    </w:p>
    <w:p>
      <w:pPr>
        <w:pStyle w:val="ListParagraph"/>
        <w:numPr>
          <w:ilvl w:val="0"/>
          <w:numId w:val="2"/>
        </w:numPr>
        <w:spacing w:after="40" w:before="40"/>
      </w:pPr>
      <w:r>
        <w:rPr>
          <w:rFonts w:ascii="Calibri" w:cs="Calibri" w:eastAsia="Calibri" w:hAnsi="Calibri"/>
          <w:color w:val="595959"/>
          <w:sz w:val="21"/>
          <w:szCs w:val="21"/>
        </w:rPr>
        <w:t xml:space="preserve">Initialisation projet Symfony 7 + API-Platform (backend REST)</w:t>
      </w:r>
    </w:p>
    <w:p>
      <w:pPr>
        <w:pStyle w:val="ListParagraph"/>
        <w:numPr>
          <w:ilvl w:val="0"/>
          <w:numId w:val="2"/>
        </w:numPr>
        <w:spacing w:after="40" w:before="40"/>
      </w:pPr>
      <w:r>
        <w:rPr>
          <w:rFonts w:ascii="Calibri" w:cs="Calibri" w:eastAsia="Calibri" w:hAnsi="Calibri"/>
          <w:color w:val="595959"/>
          <w:sz w:val="21"/>
          <w:szCs w:val="21"/>
        </w:rPr>
        <w:t xml:space="preserve">Initialisation projet Next.js 14 + Bootstrap 5 (frontend)</w:t>
      </w:r>
    </w:p>
    <w:p>
      <w:pPr>
        <w:pStyle w:val="ListParagraph"/>
        <w:numPr>
          <w:ilvl w:val="0"/>
          <w:numId w:val="2"/>
        </w:numPr>
        <w:spacing w:after="40" w:before="40"/>
      </w:pPr>
      <w:r>
        <w:rPr>
          <w:rFonts w:ascii="Calibri" w:cs="Calibri" w:eastAsia="Calibri" w:hAnsi="Calibri"/>
          <w:color w:val="595959"/>
          <w:sz w:val="21"/>
          <w:szCs w:val="21"/>
        </w:rPr>
        <w:t xml:space="preserve">Configuration base de données MySQL 8 (schéma, migrations Doctrine)</w:t>
      </w:r>
    </w:p>
    <w:p>
      <w:pPr>
        <w:pStyle w:val="ListParagraph"/>
        <w:numPr>
          <w:ilvl w:val="0"/>
          <w:numId w:val="2"/>
        </w:numPr>
        <w:spacing w:after="40" w:before="40"/>
      </w:pPr>
      <w:r>
        <w:rPr>
          <w:rFonts w:ascii="Calibri" w:cs="Calibri" w:eastAsia="Calibri" w:hAnsi="Calibri"/>
          <w:color w:val="595959"/>
          <w:sz w:val="21"/>
          <w:szCs w:val="21"/>
        </w:rPr>
        <w:t xml:space="preserve">Configuration Bunny.net (CDN, stockage vidéo, streaming)</w:t>
      </w:r>
    </w:p>
    <w:p>
      <w:pPr>
        <w:pStyle w:val="ListParagraph"/>
        <w:numPr>
          <w:ilvl w:val="0"/>
          <w:numId w:val="2"/>
        </w:numPr>
        <w:spacing w:after="40" w:before="40"/>
      </w:pPr>
      <w:r>
        <w:rPr>
          <w:rFonts w:ascii="Calibri" w:cs="Calibri" w:eastAsia="Calibri" w:hAnsi="Calibri"/>
          <w:color w:val="595959"/>
          <w:sz w:val="21"/>
          <w:szCs w:val="21"/>
        </w:rPr>
        <w:t xml:space="preserve">Configuration Stripe (clés API, webhooks, mode test)</w:t>
      </w:r>
    </w:p>
    <w:p>
      <w:pPr>
        <w:pStyle w:val="ListParagraph"/>
        <w:numPr>
          <w:ilvl w:val="0"/>
          <w:numId w:val="2"/>
        </w:numPr>
        <w:spacing w:after="40" w:before="40"/>
      </w:pPr>
      <w:r>
        <w:rPr>
          <w:rFonts w:ascii="Calibri" w:cs="Calibri" w:eastAsia="Calibri" w:hAnsi="Calibri"/>
          <w:color w:val="595959"/>
          <w:sz w:val="21"/>
          <w:szCs w:val="21"/>
        </w:rPr>
        <w:t xml:space="preserve">Mise en place GitHub (branches main/develop, pull requests, CI/CD basique)</w:t>
      </w:r>
    </w:p>
    <w:p>
      <w:pPr>
        <w:spacing w:after="80" w:before="220"/>
      </w:pPr>
      <w:r>
        <w:rPr>
          <w:rFonts w:ascii="Calibri" w:cs="Calibri" w:eastAsia="Calibri" w:hAnsi="Calibri"/>
          <w:b/>
          <w:bCs/>
          <w:color w:val="1F3864"/>
          <w:sz w:val="24"/>
          <w:szCs w:val="24"/>
        </w:rPr>
        <w:t xml:space="preserve">Livrables attendus</w:t>
      </w:r>
    </w:p>
    <w:p>
      <w:pPr>
        <w:pStyle w:val="ListParagraph"/>
        <w:numPr>
          <w:ilvl w:val="0"/>
          <w:numId w:val="2"/>
        </w:numPr>
        <w:spacing w:after="40" w:before="40"/>
      </w:pPr>
      <w:r>
        <w:rPr>
          <w:rFonts w:ascii="Calibri" w:cs="Calibri" w:eastAsia="Calibri" w:hAnsi="Calibri"/>
          <w:b/>
          <w:bCs/>
          <w:color w:val="2E75B6"/>
          <w:sz w:val="21"/>
          <w:szCs w:val="21"/>
        </w:rPr>
        <w:t xml:space="preserve">Environnement Docker fonctionnel</w:t>
      </w:r>
    </w:p>
    <w:p>
      <w:pPr>
        <w:pStyle w:val="ListParagraph"/>
        <w:numPr>
          <w:ilvl w:val="0"/>
          <w:numId w:val="2"/>
        </w:numPr>
        <w:spacing w:after="40" w:before="40"/>
      </w:pPr>
      <w:r>
        <w:rPr>
          <w:rFonts w:ascii="Calibri" w:cs="Calibri" w:eastAsia="Calibri" w:hAnsi="Calibri"/>
          <w:b/>
          <w:bCs/>
          <w:color w:val="2E75B6"/>
          <w:sz w:val="21"/>
          <w:szCs w:val="21"/>
        </w:rPr>
        <w:t xml:space="preserve">Projets Symfony et Next.js initialisés</w:t>
      </w:r>
    </w:p>
    <w:p>
      <w:pPr>
        <w:pStyle w:val="ListParagraph"/>
        <w:numPr>
          <w:ilvl w:val="0"/>
          <w:numId w:val="2"/>
        </w:numPr>
        <w:spacing w:after="40" w:before="40"/>
      </w:pPr>
      <w:r>
        <w:rPr>
          <w:rFonts w:ascii="Calibri" w:cs="Calibri" w:eastAsia="Calibri" w:hAnsi="Calibri"/>
          <w:b/>
          <w:bCs/>
          <w:color w:val="2E75B6"/>
          <w:sz w:val="21"/>
          <w:szCs w:val="21"/>
        </w:rPr>
        <w:t xml:space="preserve">Repository GitHub structuré</w:t>
      </w:r>
    </w:p>
    <w:p>
      <w:pPr>
        <w:spacing w:after="90" w:before="90"/>
      </w:pPr>
    </w:p>
    <w:p>
      <w:pPr>
        <w:spacing w:after="120" w:before="320"/>
      </w:pPr>
      <w:r>
        <w:rPr>
          <w:rFonts w:ascii="Calibri" w:cs="Calibri" w:eastAsia="Calibri" w:hAnsi="Calibri"/>
          <w:b/>
          <w:bCs/>
          <w:color w:val="2E75B6"/>
          <w:sz w:val="28"/>
          <w:szCs w:val="28"/>
        </w:rPr>
        <w:t xml:space="preserve">PHASE 3 — Développement Backend</w:t>
      </w:r>
    </w:p>
    <w:p>
      <w:pPr>
        <w:spacing w:after="120" w:before="60"/>
      </w:pPr>
      <w:r>
        <w:rPr>
          <w:rFonts w:ascii="Calibri" w:cs="Calibri" w:eastAsia="Calibri" w:hAnsi="Calibri"/>
          <w:b/>
          <w:bCs/>
          <w:color w:val="595959"/>
          <w:sz w:val="21"/>
          <w:szCs w:val="21"/>
        </w:rPr>
        <w:t xml:space="preserve">Statut : </w:t>
      </w:r>
      <w:r>
        <w:rPr>
          <w:rFonts w:ascii="Calibri" w:cs="Calibri" w:eastAsia="Calibri" w:hAnsi="Calibri"/>
          <w:b/>
          <w:bCs/>
          <w:color w:val="2E75B6"/>
          <w:sz w:val="21"/>
          <w:szCs w:val="21"/>
        </w:rPr>
        <w:t xml:space="preserve">À DÉMARRER</w:t>
      </w:r>
      <w:r>
        <w:rPr>
          <w:rFonts w:ascii="Calibri" w:cs="Calibri" w:eastAsia="Calibri" w:hAnsi="Calibri"/>
          <w:color w:val="595959"/>
          <w:sz w:val="21"/>
          <w:szCs w:val="21"/>
        </w:rPr>
        <w:t xml:space="preserve">   |   Période : </w:t>
      </w:r>
      <w:r>
        <w:rPr>
          <w:rFonts w:ascii="Calibri" w:cs="Calibri" w:eastAsia="Calibri" w:hAnsi="Calibri"/>
          <w:b/>
          <w:bCs/>
          <w:color w:val="1F3864"/>
          <w:sz w:val="21"/>
          <w:szCs w:val="21"/>
        </w:rPr>
        <w:t xml:space="preserve">Semaines 2-8  (8 avril — 26 mai 2026)</w:t>
      </w:r>
      <w:r>
        <w:rPr>
          <w:rFonts w:ascii="Calibri" w:cs="Calibri" w:eastAsia="Calibri" w:hAnsi="Calibri"/>
          <w:color w:val="595959"/>
          <w:sz w:val="21"/>
          <w:szCs w:val="21"/>
        </w:rPr>
        <w:t xml:space="preserve">   |   Durée : </w:t>
      </w:r>
      <w:r>
        <w:rPr>
          <w:rFonts w:ascii="Calibri" w:cs="Calibri" w:eastAsia="Calibri" w:hAnsi="Calibri"/>
          <w:color w:val="595959"/>
          <w:sz w:val="21"/>
          <w:szCs w:val="21"/>
        </w:rPr>
        <w:t xml:space="preserve">7 semaines</w:t>
      </w:r>
    </w:p>
    <w:p>
      <w:pPr>
        <w:spacing w:after="60" w:before="60"/>
      </w:pPr>
      <w:r>
        <w:rPr>
          <w:rFonts w:ascii="Calibri" w:cs="Calibri" w:eastAsia="Calibri" w:hAnsi="Calibri"/>
          <w:i/>
          <w:iCs/>
          <w:color w:val="595959"/>
          <w:sz w:val="21"/>
          <w:szCs w:val="21"/>
        </w:rPr>
        <w:t xml:space="preserve">Le développement backend représente le coeur du projet CINAF v2. Chaque module doit être développé, testé unitairement et documenté via Swagger/OpenAPI avant de passer au module suivant. L'ordre de développement privilégie les dépendances : Authentification en premier, puis Abonnement, puis les modules de contenu.</w:t>
      </w:r>
    </w:p>
    <w:p>
      <w:pPr>
        <w:spacing w:after="80" w:before="220"/>
      </w:pPr>
      <w:r>
        <w:rPr>
          <w:rFonts w:ascii="Calibri" w:cs="Calibri" w:eastAsia="Calibri" w:hAnsi="Calibri"/>
          <w:b/>
          <w:bCs/>
          <w:color w:val="1F3864"/>
          <w:sz w:val="24"/>
          <w:szCs w:val="24"/>
        </w:rPr>
        <w:t xml:space="preserve">Objectifs</w:t>
      </w:r>
    </w:p>
    <w:p>
      <w:pPr>
        <w:pStyle w:val="ListParagraph"/>
        <w:numPr>
          <w:ilvl w:val="0"/>
          <w:numId w:val="2"/>
        </w:numPr>
        <w:spacing w:after="40" w:before="40"/>
      </w:pPr>
      <w:r>
        <w:rPr>
          <w:rFonts w:ascii="Calibri" w:cs="Calibri" w:eastAsia="Calibri" w:hAnsi="Calibri"/>
          <w:color w:val="595959"/>
          <w:sz w:val="21"/>
          <w:szCs w:val="21"/>
        </w:rPr>
        <w:t xml:space="preserve">Développer l'ensemble des API REST via Symfony 7 + API-Platform.</w:t>
      </w:r>
    </w:p>
    <w:p>
      <w:pPr>
        <w:pStyle w:val="ListParagraph"/>
        <w:numPr>
          <w:ilvl w:val="0"/>
          <w:numId w:val="2"/>
        </w:numPr>
        <w:spacing w:after="40" w:before="40"/>
      </w:pPr>
      <w:r>
        <w:rPr>
          <w:rFonts w:ascii="Calibri" w:cs="Calibri" w:eastAsia="Calibri" w:hAnsi="Calibri"/>
          <w:color w:val="595959"/>
          <w:sz w:val="21"/>
          <w:szCs w:val="21"/>
        </w:rPr>
        <w:t xml:space="preserve">Implémenter les 7 modules métier de CINAF v2.</w:t>
      </w:r>
    </w:p>
    <w:p>
      <w:pPr>
        <w:pStyle w:val="ListParagraph"/>
        <w:numPr>
          <w:ilvl w:val="0"/>
          <w:numId w:val="2"/>
        </w:numPr>
        <w:spacing w:after="40" w:before="40"/>
      </w:pPr>
      <w:r>
        <w:rPr>
          <w:rFonts w:ascii="Calibri" w:cs="Calibri" w:eastAsia="Calibri" w:hAnsi="Calibri"/>
          <w:color w:val="595959"/>
          <w:sz w:val="21"/>
          <w:szCs w:val="21"/>
        </w:rPr>
        <w:t xml:space="preserve">Assurer la sécurité (JWT, RGPD) et l'intégration des services tiers (Stripe, Bunny.net).</w:t>
      </w:r>
    </w:p>
    <w:p>
      <w:pPr>
        <w:pStyle w:val="ListParagraph"/>
        <w:numPr>
          <w:ilvl w:val="0"/>
          <w:numId w:val="2"/>
        </w:numPr>
        <w:spacing w:after="40" w:before="40"/>
      </w:pPr>
      <w:r>
        <w:rPr>
          <w:rFonts w:ascii="Calibri" w:cs="Calibri" w:eastAsia="Calibri" w:hAnsi="Calibri"/>
          <w:color w:val="595959"/>
          <w:sz w:val="21"/>
          <w:szCs w:val="21"/>
        </w:rPr>
        <w:t xml:space="preserve">Produire une documentation API complète (Swagger/OpenAPI).</w:t>
      </w:r>
    </w:p>
    <w:p>
      <w:pPr>
        <w:spacing w:after="80" w:before="220"/>
      </w:pPr>
      <w:r>
        <w:rPr>
          <w:rFonts w:ascii="Calibri" w:cs="Calibri" w:eastAsia="Calibri" w:hAnsi="Calibri"/>
          <w:b/>
          <w:bCs/>
          <w:color w:val="1F3864"/>
          <w:sz w:val="24"/>
          <w:szCs w:val="24"/>
        </w:rPr>
        <w:t xml:space="preserve">Tâches à réaliser</w:t>
      </w:r>
    </w:p>
    <w:p>
      <w:pPr>
        <w:pStyle w:val="ListParagraph"/>
        <w:numPr>
          <w:ilvl w:val="0"/>
          <w:numId w:val="2"/>
        </w:numPr>
        <w:spacing w:after="40" w:before="40"/>
      </w:pPr>
      <w:r>
        <w:rPr>
          <w:rFonts w:ascii="Calibri" w:cs="Calibri" w:eastAsia="Calibri" w:hAnsi="Calibri"/>
          <w:color w:val="595959"/>
          <w:sz w:val="21"/>
          <w:szCs w:val="21"/>
        </w:rPr>
        <w:t xml:space="preserve">Module Authentification : JWT, inscription, connexion, gestion de session, conformité RGPD</w:t>
      </w:r>
    </w:p>
    <w:p>
      <w:pPr>
        <w:pStyle w:val="ListParagraph"/>
        <w:numPr>
          <w:ilvl w:val="0"/>
          <w:numId w:val="2"/>
        </w:numPr>
        <w:spacing w:after="40" w:before="40"/>
      </w:pPr>
      <w:r>
        <w:rPr>
          <w:rFonts w:ascii="Calibri" w:cs="Calibri" w:eastAsia="Calibri" w:hAnsi="Calibri"/>
          <w:color w:val="595959"/>
          <w:sz w:val="21"/>
          <w:szCs w:val="21"/>
        </w:rPr>
        <w:t xml:space="preserve">Module Abonnement &amp; Paiement : intégration Stripe, formules CINAF_BASIC, CINAF_PREMIUM, EXCLUSIF_STUDIO, TVOD (à la demande)</w:t>
      </w:r>
    </w:p>
    <w:p>
      <w:pPr>
        <w:pStyle w:val="ListParagraph"/>
        <w:numPr>
          <w:ilvl w:val="0"/>
          <w:numId w:val="2"/>
        </w:numPr>
        <w:spacing w:after="40" w:before="40"/>
      </w:pPr>
      <w:r>
        <w:rPr>
          <w:rFonts w:ascii="Calibri" w:cs="Calibri" w:eastAsia="Calibri" w:hAnsi="Calibri"/>
          <w:color w:val="595959"/>
          <w:sz w:val="21"/>
          <w:szCs w:val="21"/>
        </w:rPr>
        <w:t xml:space="preserve">Module Catalogue &amp; Contenu : gestion des films, séries, épisodes, métadonnées, genres</w:t>
      </w:r>
    </w:p>
    <w:p>
      <w:pPr>
        <w:pStyle w:val="ListParagraph"/>
        <w:numPr>
          <w:ilvl w:val="0"/>
          <w:numId w:val="2"/>
        </w:numPr>
        <w:spacing w:after="40" w:before="40"/>
      </w:pPr>
      <w:r>
        <w:rPr>
          <w:rFonts w:ascii="Calibri" w:cs="Calibri" w:eastAsia="Calibri" w:hAnsi="Calibri"/>
          <w:color w:val="595959"/>
          <w:sz w:val="21"/>
          <w:szCs w:val="21"/>
        </w:rPr>
        <w:t xml:space="preserve">Module Studio de Production : création de contenu, publication, analytics créateur</w:t>
      </w:r>
    </w:p>
    <w:p>
      <w:pPr>
        <w:pStyle w:val="ListParagraph"/>
        <w:numPr>
          <w:ilvl w:val="0"/>
          <w:numId w:val="2"/>
        </w:numPr>
        <w:spacing w:after="40" w:before="40"/>
      </w:pPr>
      <w:r>
        <w:rPr>
          <w:rFonts w:ascii="Calibri" w:cs="Calibri" w:eastAsia="Calibri" w:hAnsi="Calibri"/>
          <w:color w:val="595959"/>
          <w:sz w:val="21"/>
          <w:szCs w:val="21"/>
        </w:rPr>
        <w:t xml:space="preserve">Module Lecteur Vidéo : intégration Bunny.net, streaming adaptatif HLS, contrôle d'accès</w:t>
      </w:r>
    </w:p>
    <w:p>
      <w:pPr>
        <w:pStyle w:val="ListParagraph"/>
        <w:numPr>
          <w:ilvl w:val="0"/>
          <w:numId w:val="2"/>
        </w:numPr>
        <w:spacing w:after="40" w:before="40"/>
      </w:pPr>
      <w:r>
        <w:rPr>
          <w:rFonts w:ascii="Calibri" w:cs="Calibri" w:eastAsia="Calibri" w:hAnsi="Calibri"/>
          <w:color w:val="595959"/>
          <w:sz w:val="21"/>
          <w:szCs w:val="21"/>
        </w:rPr>
        <w:t xml:space="preserve">Module Modération : signalements, validation de contenu, gestion des infractions</w:t>
      </w:r>
    </w:p>
    <w:p>
      <w:pPr>
        <w:pStyle w:val="ListParagraph"/>
        <w:numPr>
          <w:ilvl w:val="0"/>
          <w:numId w:val="2"/>
        </w:numPr>
        <w:spacing w:after="40" w:before="40"/>
      </w:pPr>
      <w:r>
        <w:rPr>
          <w:rFonts w:ascii="Calibri" w:cs="Calibri" w:eastAsia="Calibri" w:hAnsi="Calibri"/>
          <w:color w:val="595959"/>
          <w:sz w:val="21"/>
          <w:szCs w:val="21"/>
        </w:rPr>
        <w:t xml:space="preserve">Module Administration &amp; KPI : tableau de bord, statistiques, gestion des utilisateurs</w:t>
      </w:r>
    </w:p>
    <w:p>
      <w:pPr>
        <w:spacing w:after="80" w:before="220"/>
      </w:pPr>
      <w:r>
        <w:rPr>
          <w:rFonts w:ascii="Calibri" w:cs="Calibri" w:eastAsia="Calibri" w:hAnsi="Calibri"/>
          <w:b/>
          <w:bCs/>
          <w:color w:val="1F3864"/>
          <w:sz w:val="24"/>
          <w:szCs w:val="24"/>
        </w:rPr>
        <w:t xml:space="preserve">Livrables attendus</w:t>
      </w:r>
    </w:p>
    <w:p>
      <w:pPr>
        <w:pStyle w:val="ListParagraph"/>
        <w:numPr>
          <w:ilvl w:val="0"/>
          <w:numId w:val="2"/>
        </w:numPr>
        <w:spacing w:after="40" w:before="40"/>
      </w:pPr>
      <w:r>
        <w:rPr>
          <w:rFonts w:ascii="Calibri" w:cs="Calibri" w:eastAsia="Calibri" w:hAnsi="Calibri"/>
          <w:b/>
          <w:bCs/>
          <w:color w:val="2E75B6"/>
          <w:sz w:val="21"/>
          <w:szCs w:val="21"/>
        </w:rPr>
        <w:t xml:space="preserve">API REST complète et documentée (Swagger)</w:t>
      </w:r>
    </w:p>
    <w:p>
      <w:pPr>
        <w:pStyle w:val="ListParagraph"/>
        <w:numPr>
          <w:ilvl w:val="0"/>
          <w:numId w:val="2"/>
        </w:numPr>
        <w:spacing w:after="40" w:before="40"/>
      </w:pPr>
      <w:r>
        <w:rPr>
          <w:rFonts w:ascii="Calibri" w:cs="Calibri" w:eastAsia="Calibri" w:hAnsi="Calibri"/>
          <w:b/>
          <w:bCs/>
          <w:color w:val="2E75B6"/>
          <w:sz w:val="21"/>
          <w:szCs w:val="21"/>
        </w:rPr>
        <w:t xml:space="preserve">Base de données peuplée avec données de test</w:t>
      </w:r>
    </w:p>
    <w:p>
      <w:pPr>
        <w:pStyle w:val="ListParagraph"/>
        <w:numPr>
          <w:ilvl w:val="0"/>
          <w:numId w:val="2"/>
        </w:numPr>
        <w:spacing w:after="40" w:before="40"/>
      </w:pPr>
      <w:r>
        <w:rPr>
          <w:rFonts w:ascii="Calibri" w:cs="Calibri" w:eastAsia="Calibri" w:hAnsi="Calibri"/>
          <w:b/>
          <w:bCs/>
          <w:color w:val="2E75B6"/>
          <w:sz w:val="21"/>
          <w:szCs w:val="21"/>
        </w:rPr>
        <w:t xml:space="preserve">Intégration Stripe et Bunny.net fonctionnelle</w:t>
      </w:r>
    </w:p>
    <w:p>
      <w:pPr>
        <w:spacing w:after="90" w:before="90"/>
      </w:pPr>
    </w:p>
    <w:p>
      <w:pPr>
        <w:spacing w:after="120" w:before="320"/>
      </w:pPr>
      <w:r>
        <w:rPr>
          <w:rFonts w:ascii="Calibri" w:cs="Calibri" w:eastAsia="Calibri" w:hAnsi="Calibri"/>
          <w:b/>
          <w:bCs/>
          <w:color w:val="2E75B6"/>
          <w:sz w:val="28"/>
          <w:szCs w:val="28"/>
        </w:rPr>
        <w:t xml:space="preserve">PHASE 4 — Développement Frontend</w:t>
      </w:r>
    </w:p>
    <w:p>
      <w:pPr>
        <w:spacing w:after="120" w:before="60"/>
      </w:pPr>
      <w:r>
        <w:rPr>
          <w:rFonts w:ascii="Calibri" w:cs="Calibri" w:eastAsia="Calibri" w:hAnsi="Calibri"/>
          <w:b/>
          <w:bCs/>
          <w:color w:val="595959"/>
          <w:sz w:val="21"/>
          <w:szCs w:val="21"/>
        </w:rPr>
        <w:t xml:space="preserve">Statut : </w:t>
      </w:r>
      <w:r>
        <w:rPr>
          <w:rFonts w:ascii="Calibri" w:cs="Calibri" w:eastAsia="Calibri" w:hAnsi="Calibri"/>
          <w:b/>
          <w:bCs/>
          <w:color w:val="2E75B6"/>
          <w:sz w:val="21"/>
          <w:szCs w:val="21"/>
        </w:rPr>
        <w:t xml:space="preserve">À DÉMARRER</w:t>
      </w:r>
      <w:r>
        <w:rPr>
          <w:rFonts w:ascii="Calibri" w:cs="Calibri" w:eastAsia="Calibri" w:hAnsi="Calibri"/>
          <w:color w:val="595959"/>
          <w:sz w:val="21"/>
          <w:szCs w:val="21"/>
        </w:rPr>
        <w:t xml:space="preserve">   |   Période : </w:t>
      </w:r>
      <w:r>
        <w:rPr>
          <w:rFonts w:ascii="Calibri" w:cs="Calibri" w:eastAsia="Calibri" w:hAnsi="Calibri"/>
          <w:b/>
          <w:bCs/>
          <w:color w:val="1F3864"/>
          <w:sz w:val="21"/>
          <w:szCs w:val="21"/>
        </w:rPr>
        <w:t xml:space="preserve">Semaines 6-9  (6 mai — 2 juin 2026)</w:t>
      </w:r>
      <w:r>
        <w:rPr>
          <w:rFonts w:ascii="Calibri" w:cs="Calibri" w:eastAsia="Calibri" w:hAnsi="Calibri"/>
          <w:color w:val="595959"/>
          <w:sz w:val="21"/>
          <w:szCs w:val="21"/>
        </w:rPr>
        <w:t xml:space="preserve">   |   Durée : </w:t>
      </w:r>
      <w:r>
        <w:rPr>
          <w:rFonts w:ascii="Calibri" w:cs="Calibri" w:eastAsia="Calibri" w:hAnsi="Calibri"/>
          <w:color w:val="595959"/>
          <w:sz w:val="21"/>
          <w:szCs w:val="21"/>
        </w:rPr>
        <w:t xml:space="preserve">4 semaines</w:t>
      </w:r>
    </w:p>
    <w:p>
      <w:pPr>
        <w:spacing w:after="60" w:before="60"/>
      </w:pPr>
      <w:r>
        <w:rPr>
          <w:rFonts w:ascii="Calibri" w:cs="Calibri" w:eastAsia="Calibri" w:hAnsi="Calibri"/>
          <w:i/>
          <w:iCs/>
          <w:color w:val="595959"/>
          <w:sz w:val="21"/>
          <w:szCs w:val="21"/>
        </w:rPr>
        <w:t xml:space="preserve">Le développement frontend débute dès que les modules backend essentiels (Auth, Catalogue) sont opérationnels. Les interfaces sont développées avec Next.js 14 et Bootstrap 5, et consomment les API REST documentées.</w:t>
      </w:r>
    </w:p>
    <w:p>
      <w:pPr>
        <w:spacing w:after="80" w:before="220"/>
      </w:pPr>
      <w:r>
        <w:rPr>
          <w:rFonts w:ascii="Calibri" w:cs="Calibri" w:eastAsia="Calibri" w:hAnsi="Calibri"/>
          <w:b/>
          <w:bCs/>
          <w:color w:val="1F3864"/>
          <w:sz w:val="24"/>
          <w:szCs w:val="24"/>
        </w:rPr>
        <w:t xml:space="preserve">Objectifs</w:t>
      </w:r>
    </w:p>
    <w:p>
      <w:pPr>
        <w:pStyle w:val="ListParagraph"/>
        <w:numPr>
          <w:ilvl w:val="0"/>
          <w:numId w:val="2"/>
        </w:numPr>
        <w:spacing w:after="40" w:before="40"/>
      </w:pPr>
      <w:r>
        <w:rPr>
          <w:rFonts w:ascii="Calibri" w:cs="Calibri" w:eastAsia="Calibri" w:hAnsi="Calibri"/>
          <w:color w:val="595959"/>
          <w:sz w:val="21"/>
          <w:szCs w:val="21"/>
        </w:rPr>
        <w:t xml:space="preserve">Développer toutes les interfaces utilisateur avec Next.js 14 et Bootstrap 5.</w:t>
      </w:r>
    </w:p>
    <w:p>
      <w:pPr>
        <w:pStyle w:val="ListParagraph"/>
        <w:numPr>
          <w:ilvl w:val="0"/>
          <w:numId w:val="2"/>
        </w:numPr>
        <w:spacing w:after="40" w:before="40"/>
      </w:pPr>
      <w:r>
        <w:rPr>
          <w:rFonts w:ascii="Calibri" w:cs="Calibri" w:eastAsia="Calibri" w:hAnsi="Calibri"/>
          <w:color w:val="595959"/>
          <w:sz w:val="21"/>
          <w:szCs w:val="21"/>
        </w:rPr>
        <w:t xml:space="preserve">Intégrer les API backend sur l'ensemble des interfaces.</w:t>
      </w:r>
    </w:p>
    <w:p>
      <w:pPr>
        <w:pStyle w:val="ListParagraph"/>
        <w:numPr>
          <w:ilvl w:val="0"/>
          <w:numId w:val="2"/>
        </w:numPr>
        <w:spacing w:after="40" w:before="40"/>
      </w:pPr>
      <w:r>
        <w:rPr>
          <w:rFonts w:ascii="Calibri" w:cs="Calibri" w:eastAsia="Calibri" w:hAnsi="Calibri"/>
          <w:color w:val="595959"/>
          <w:sz w:val="21"/>
          <w:szCs w:val="21"/>
        </w:rPr>
        <w:t xml:space="preserve">Garantir une expérience utilisateur fluide, responsive et accessible.</w:t>
      </w:r>
    </w:p>
    <w:p>
      <w:pPr>
        <w:spacing w:after="80" w:before="220"/>
      </w:pPr>
      <w:r>
        <w:rPr>
          <w:rFonts w:ascii="Calibri" w:cs="Calibri" w:eastAsia="Calibri" w:hAnsi="Calibri"/>
          <w:b/>
          <w:bCs/>
          <w:color w:val="1F3864"/>
          <w:sz w:val="24"/>
          <w:szCs w:val="24"/>
        </w:rPr>
        <w:t xml:space="preserve">Tâches à réaliser</w:t>
      </w:r>
    </w:p>
    <w:p>
      <w:pPr>
        <w:pStyle w:val="ListParagraph"/>
        <w:numPr>
          <w:ilvl w:val="0"/>
          <w:numId w:val="2"/>
        </w:numPr>
        <w:spacing w:after="40" w:before="40"/>
      </w:pPr>
      <w:r>
        <w:rPr>
          <w:rFonts w:ascii="Calibri" w:cs="Calibri" w:eastAsia="Calibri" w:hAnsi="Calibri"/>
          <w:color w:val="595959"/>
          <w:sz w:val="21"/>
          <w:szCs w:val="21"/>
        </w:rPr>
        <w:t xml:space="preserve">Pages publiques : accueil, catalogue de contenus, fiche détaillée (film/série/épisode)</w:t>
      </w:r>
    </w:p>
    <w:p>
      <w:pPr>
        <w:pStyle w:val="ListParagraph"/>
        <w:numPr>
          <w:ilvl w:val="0"/>
          <w:numId w:val="2"/>
        </w:numPr>
        <w:spacing w:after="40" w:before="40"/>
      </w:pPr>
      <w:r>
        <w:rPr>
          <w:rFonts w:ascii="Calibri" w:cs="Calibri" w:eastAsia="Calibri" w:hAnsi="Calibri"/>
          <w:color w:val="595959"/>
          <w:sz w:val="21"/>
          <w:szCs w:val="21"/>
        </w:rPr>
        <w:t xml:space="preserve">Espace abonné : profil utilisateur, favoris, historique de visionnage, gestion d'abonnement</w:t>
      </w:r>
    </w:p>
    <w:p>
      <w:pPr>
        <w:pStyle w:val="ListParagraph"/>
        <w:numPr>
          <w:ilvl w:val="0"/>
          <w:numId w:val="2"/>
        </w:numPr>
        <w:spacing w:after="40" w:before="40"/>
      </w:pPr>
      <w:r>
        <w:rPr>
          <w:rFonts w:ascii="Calibri" w:cs="Calibri" w:eastAsia="Calibri" w:hAnsi="Calibri"/>
          <w:color w:val="595959"/>
          <w:sz w:val="21"/>
          <w:szCs w:val="21"/>
        </w:rPr>
        <w:t xml:space="preserve">Espace créateur / Studio de production : upload de contenu, suivi des performances</w:t>
      </w:r>
    </w:p>
    <w:p>
      <w:pPr>
        <w:pStyle w:val="ListParagraph"/>
        <w:numPr>
          <w:ilvl w:val="0"/>
          <w:numId w:val="2"/>
        </w:numPr>
        <w:spacing w:after="40" w:before="40"/>
      </w:pPr>
      <w:r>
        <w:rPr>
          <w:rFonts w:ascii="Calibri" w:cs="Calibri" w:eastAsia="Calibri" w:hAnsi="Calibri"/>
          <w:color w:val="595959"/>
          <w:sz w:val="21"/>
          <w:szCs w:val="21"/>
        </w:rPr>
        <w:t xml:space="preserve">Interface de modération : revue des signalements, validation de contenu</w:t>
      </w:r>
    </w:p>
    <w:p>
      <w:pPr>
        <w:pStyle w:val="ListParagraph"/>
        <w:numPr>
          <w:ilvl w:val="0"/>
          <w:numId w:val="2"/>
        </w:numPr>
        <w:spacing w:after="40" w:before="40"/>
      </w:pPr>
      <w:r>
        <w:rPr>
          <w:rFonts w:ascii="Calibri" w:cs="Calibri" w:eastAsia="Calibri" w:hAnsi="Calibri"/>
          <w:color w:val="595959"/>
          <w:sz w:val="21"/>
          <w:szCs w:val="21"/>
        </w:rPr>
        <w:t xml:space="preserve">Interface d'administration : tableau de bord KPI, gestion des utilisateurs et contenus</w:t>
      </w:r>
    </w:p>
    <w:p>
      <w:pPr>
        <w:pStyle w:val="ListParagraph"/>
        <w:numPr>
          <w:ilvl w:val="0"/>
          <w:numId w:val="2"/>
        </w:numPr>
        <w:spacing w:after="40" w:before="40"/>
      </w:pPr>
      <w:r>
        <w:rPr>
          <w:rFonts w:ascii="Calibri" w:cs="Calibri" w:eastAsia="Calibri" w:hAnsi="Calibri"/>
          <w:color w:val="595959"/>
          <w:sz w:val="21"/>
          <w:szCs w:val="21"/>
        </w:rPr>
        <w:t xml:space="preserve">Intégration formulaires de paiement Stripe (Stripe Elements / Stripe.js)</w:t>
      </w:r>
    </w:p>
    <w:p>
      <w:pPr>
        <w:pStyle w:val="ListParagraph"/>
        <w:numPr>
          <w:ilvl w:val="0"/>
          <w:numId w:val="2"/>
        </w:numPr>
        <w:spacing w:after="40" w:before="40"/>
      </w:pPr>
      <w:r>
        <w:rPr>
          <w:rFonts w:ascii="Calibri" w:cs="Calibri" w:eastAsia="Calibri" w:hAnsi="Calibri"/>
          <w:color w:val="595959"/>
          <w:sz w:val="21"/>
          <w:szCs w:val="21"/>
        </w:rPr>
        <w:t xml:space="preserve">Intégration lecteur vidéo Bunny.net (player embarqué, gestion des droits d'accès)</w:t>
      </w:r>
    </w:p>
    <w:p>
      <w:pPr>
        <w:spacing w:after="80" w:before="220"/>
      </w:pPr>
      <w:r>
        <w:rPr>
          <w:rFonts w:ascii="Calibri" w:cs="Calibri" w:eastAsia="Calibri" w:hAnsi="Calibri"/>
          <w:b/>
          <w:bCs/>
          <w:color w:val="1F3864"/>
          <w:sz w:val="24"/>
          <w:szCs w:val="24"/>
        </w:rPr>
        <w:t xml:space="preserve">Livrables attendus</w:t>
      </w:r>
    </w:p>
    <w:p>
      <w:pPr>
        <w:pStyle w:val="ListParagraph"/>
        <w:numPr>
          <w:ilvl w:val="0"/>
          <w:numId w:val="2"/>
        </w:numPr>
        <w:spacing w:after="40" w:before="40"/>
      </w:pPr>
      <w:r>
        <w:rPr>
          <w:rFonts w:ascii="Calibri" w:cs="Calibri" w:eastAsia="Calibri" w:hAnsi="Calibri"/>
          <w:b/>
          <w:bCs/>
          <w:color w:val="2E75B6"/>
          <w:sz w:val="21"/>
          <w:szCs w:val="21"/>
        </w:rPr>
        <w:t xml:space="preserve">Application Next.js complète</w:t>
      </w:r>
    </w:p>
    <w:p>
      <w:pPr>
        <w:pStyle w:val="ListParagraph"/>
        <w:numPr>
          <w:ilvl w:val="0"/>
          <w:numId w:val="2"/>
        </w:numPr>
        <w:spacing w:after="40" w:before="40"/>
      </w:pPr>
      <w:r>
        <w:rPr>
          <w:rFonts w:ascii="Calibri" w:cs="Calibri" w:eastAsia="Calibri" w:hAnsi="Calibri"/>
          <w:b/>
          <w:bCs/>
          <w:color w:val="2E75B6"/>
          <w:sz w:val="21"/>
          <w:szCs w:val="21"/>
        </w:rPr>
        <w:t xml:space="preserve">Toutes les interfaces fonctionnelles et intégrées avec le backend</w:t>
      </w:r>
    </w:p>
    <w:p>
      <w:pPr>
        <w:spacing w:after="90" w:before="90"/>
      </w:pPr>
    </w:p>
    <w:p>
      <w:pPr>
        <w:spacing w:after="120" w:before="320"/>
      </w:pPr>
      <w:r>
        <w:rPr>
          <w:rFonts w:ascii="Calibri" w:cs="Calibri" w:eastAsia="Calibri" w:hAnsi="Calibri"/>
          <w:b/>
          <w:bCs/>
          <w:color w:val="2E75B6"/>
          <w:sz w:val="28"/>
          <w:szCs w:val="28"/>
        </w:rPr>
        <w:t xml:space="preserve">PHASE 5 — Tests &amp; Déploiement</w:t>
      </w:r>
    </w:p>
    <w:p>
      <w:pPr>
        <w:spacing w:after="120" w:before="60"/>
      </w:pPr>
      <w:r>
        <w:rPr>
          <w:rFonts w:ascii="Calibri" w:cs="Calibri" w:eastAsia="Calibri" w:hAnsi="Calibri"/>
          <w:b/>
          <w:bCs/>
          <w:color w:val="595959"/>
          <w:sz w:val="21"/>
          <w:szCs w:val="21"/>
        </w:rPr>
        <w:t xml:space="preserve">Statut : </w:t>
      </w:r>
      <w:r>
        <w:rPr>
          <w:rFonts w:ascii="Calibri" w:cs="Calibri" w:eastAsia="Calibri" w:hAnsi="Calibri"/>
          <w:b/>
          <w:bCs/>
          <w:color w:val="C55A11"/>
          <w:sz w:val="21"/>
          <w:szCs w:val="21"/>
        </w:rPr>
        <w:t xml:space="preserve">À PLANIFIER</w:t>
      </w:r>
      <w:r>
        <w:rPr>
          <w:rFonts w:ascii="Calibri" w:cs="Calibri" w:eastAsia="Calibri" w:hAnsi="Calibri"/>
          <w:color w:val="595959"/>
          <w:sz w:val="21"/>
          <w:szCs w:val="21"/>
        </w:rPr>
        <w:t xml:space="preserve">   |   Période : </w:t>
      </w:r>
      <w:r>
        <w:rPr>
          <w:rFonts w:ascii="Calibri" w:cs="Calibri" w:eastAsia="Calibri" w:hAnsi="Calibri"/>
          <w:b/>
          <w:bCs/>
          <w:color w:val="1F3864"/>
          <w:sz w:val="21"/>
          <w:szCs w:val="21"/>
        </w:rPr>
        <w:t xml:space="preserve">Semaines 9-10  (27 mai — 9 juin 2026)</w:t>
      </w:r>
      <w:r>
        <w:rPr>
          <w:rFonts w:ascii="Calibri" w:cs="Calibri" w:eastAsia="Calibri" w:hAnsi="Calibri"/>
          <w:color w:val="595959"/>
          <w:sz w:val="21"/>
          <w:szCs w:val="21"/>
        </w:rPr>
        <w:t xml:space="preserve">   |   Durée : </w:t>
      </w:r>
      <w:r>
        <w:rPr>
          <w:rFonts w:ascii="Calibri" w:cs="Calibri" w:eastAsia="Calibri" w:hAnsi="Calibri"/>
          <w:color w:val="595959"/>
          <w:sz w:val="21"/>
          <w:szCs w:val="21"/>
        </w:rPr>
        <w:t xml:space="preserve">2 semaines</w:t>
      </w:r>
    </w:p>
    <w:p>
      <w:pPr>
        <w:spacing w:after="60" w:before="60"/>
      </w:pPr>
      <w:r>
        <w:rPr>
          <w:rFonts w:ascii="Calibri" w:cs="Calibri" w:eastAsia="Calibri" w:hAnsi="Calibri"/>
          <w:i/>
          <w:iCs/>
          <w:color w:val="595959"/>
          <w:sz w:val="21"/>
          <w:szCs w:val="21"/>
        </w:rPr>
        <w:t xml:space="preserve">La phase de tests doit couvrir l'ensemble des fonctionnalités de CINAF v2. Une attention particulière sera portée aux flux critiques : inscription, abonnement, paiement Stripe, lecture vidéo. Le déploiement se fait sur un environnement de recette accessible pour la démonstration.</w:t>
      </w:r>
    </w:p>
    <w:p>
      <w:pPr>
        <w:spacing w:after="80" w:before="220"/>
      </w:pPr>
      <w:r>
        <w:rPr>
          <w:rFonts w:ascii="Calibri" w:cs="Calibri" w:eastAsia="Calibri" w:hAnsi="Calibri"/>
          <w:b/>
          <w:bCs/>
          <w:color w:val="1F3864"/>
          <w:sz w:val="24"/>
          <w:szCs w:val="24"/>
        </w:rPr>
        <w:t xml:space="preserve">Objectifs</w:t>
      </w:r>
    </w:p>
    <w:p>
      <w:pPr>
        <w:pStyle w:val="ListParagraph"/>
        <w:numPr>
          <w:ilvl w:val="0"/>
          <w:numId w:val="2"/>
        </w:numPr>
        <w:spacing w:after="40" w:before="40"/>
      </w:pPr>
      <w:r>
        <w:rPr>
          <w:rFonts w:ascii="Calibri" w:cs="Calibri" w:eastAsia="Calibri" w:hAnsi="Calibri"/>
          <w:color w:val="595959"/>
          <w:sz w:val="21"/>
          <w:szCs w:val="21"/>
        </w:rPr>
        <w:t xml:space="preserve">Valider le bon fonctionnement de l'ensemble des fonctionnalités.</w:t>
      </w:r>
    </w:p>
    <w:p>
      <w:pPr>
        <w:pStyle w:val="ListParagraph"/>
        <w:numPr>
          <w:ilvl w:val="0"/>
          <w:numId w:val="2"/>
        </w:numPr>
        <w:spacing w:after="40" w:before="40"/>
      </w:pPr>
      <w:r>
        <w:rPr>
          <w:rFonts w:ascii="Calibri" w:cs="Calibri" w:eastAsia="Calibri" w:hAnsi="Calibri"/>
          <w:color w:val="595959"/>
          <w:sz w:val="21"/>
          <w:szCs w:val="21"/>
        </w:rPr>
        <w:t xml:space="preserve">Identifier et corriger les bugs avant la soumission du TFE.</w:t>
      </w:r>
    </w:p>
    <w:p>
      <w:pPr>
        <w:pStyle w:val="ListParagraph"/>
        <w:numPr>
          <w:ilvl w:val="0"/>
          <w:numId w:val="2"/>
        </w:numPr>
        <w:spacing w:after="40" w:before="40"/>
      </w:pPr>
      <w:r>
        <w:rPr>
          <w:rFonts w:ascii="Calibri" w:cs="Calibri" w:eastAsia="Calibri" w:hAnsi="Calibri"/>
          <w:color w:val="595959"/>
          <w:sz w:val="21"/>
          <w:szCs w:val="21"/>
        </w:rPr>
        <w:t xml:space="preserve">Déployer l'application sur un environnement de recette accessible.</w:t>
      </w:r>
    </w:p>
    <w:p>
      <w:pPr>
        <w:spacing w:after="80" w:before="220"/>
      </w:pPr>
      <w:r>
        <w:rPr>
          <w:rFonts w:ascii="Calibri" w:cs="Calibri" w:eastAsia="Calibri" w:hAnsi="Calibri"/>
          <w:b/>
          <w:bCs/>
          <w:color w:val="1F3864"/>
          <w:sz w:val="24"/>
          <w:szCs w:val="24"/>
        </w:rPr>
        <w:t xml:space="preserve">Tâches à réaliser</w:t>
      </w:r>
    </w:p>
    <w:p>
      <w:pPr>
        <w:pStyle w:val="ListParagraph"/>
        <w:numPr>
          <w:ilvl w:val="0"/>
          <w:numId w:val="2"/>
        </w:numPr>
        <w:spacing w:after="40" w:before="40"/>
      </w:pPr>
      <w:r>
        <w:rPr>
          <w:rFonts w:ascii="Calibri" w:cs="Calibri" w:eastAsia="Calibri" w:hAnsi="Calibri"/>
          <w:color w:val="595959"/>
          <w:sz w:val="21"/>
          <w:szCs w:val="21"/>
        </w:rPr>
        <w:t xml:space="preserve">Tests unitaires backend (PHPUnit) : couverture des services et repositories</w:t>
      </w:r>
    </w:p>
    <w:p>
      <w:pPr>
        <w:pStyle w:val="ListParagraph"/>
        <w:numPr>
          <w:ilvl w:val="0"/>
          <w:numId w:val="2"/>
        </w:numPr>
        <w:spacing w:after="40" w:before="40"/>
      </w:pPr>
      <w:r>
        <w:rPr>
          <w:rFonts w:ascii="Calibri" w:cs="Calibri" w:eastAsia="Calibri" w:hAnsi="Calibri"/>
          <w:color w:val="595959"/>
          <w:sz w:val="21"/>
          <w:szCs w:val="21"/>
        </w:rPr>
        <w:t xml:space="preserve">Tests d'intégration : API endpoints, base de données, services tiers</w:t>
      </w:r>
    </w:p>
    <w:p>
      <w:pPr>
        <w:pStyle w:val="ListParagraph"/>
        <w:numPr>
          <w:ilvl w:val="0"/>
          <w:numId w:val="2"/>
        </w:numPr>
        <w:spacing w:after="40" w:before="40"/>
      </w:pPr>
      <w:r>
        <w:rPr>
          <w:rFonts w:ascii="Calibri" w:cs="Calibri" w:eastAsia="Calibri" w:hAnsi="Calibri"/>
          <w:color w:val="595959"/>
          <w:sz w:val="21"/>
          <w:szCs w:val="21"/>
        </w:rPr>
        <w:t xml:space="preserve">Tests fonctionnels : scénarios utilisateurs end-to-end (inscription, abonnement, visionnage)</w:t>
      </w:r>
    </w:p>
    <w:p>
      <w:pPr>
        <w:pStyle w:val="ListParagraph"/>
        <w:numPr>
          <w:ilvl w:val="0"/>
          <w:numId w:val="2"/>
        </w:numPr>
        <w:spacing w:after="40" w:before="40"/>
      </w:pPr>
      <w:r>
        <w:rPr>
          <w:rFonts w:ascii="Calibri" w:cs="Calibri" w:eastAsia="Calibri" w:hAnsi="Calibri"/>
          <w:color w:val="595959"/>
          <w:sz w:val="21"/>
          <w:szCs w:val="21"/>
        </w:rPr>
        <w:t xml:space="preserve">Correction des bugs et anomalies identifiés</w:t>
      </w:r>
    </w:p>
    <w:p>
      <w:pPr>
        <w:pStyle w:val="ListParagraph"/>
        <w:numPr>
          <w:ilvl w:val="0"/>
          <w:numId w:val="2"/>
        </w:numPr>
        <w:spacing w:after="40" w:before="40"/>
      </w:pPr>
      <w:r>
        <w:rPr>
          <w:rFonts w:ascii="Calibri" w:cs="Calibri" w:eastAsia="Calibri" w:hAnsi="Calibri"/>
          <w:color w:val="595959"/>
          <w:sz w:val="21"/>
          <w:szCs w:val="21"/>
        </w:rPr>
        <w:t xml:space="preserve">Déploiement sur environnement de recette (VPS ou cloud)</w:t>
      </w:r>
    </w:p>
    <w:p>
      <w:pPr>
        <w:spacing w:after="80" w:before="220"/>
      </w:pPr>
      <w:r>
        <w:rPr>
          <w:rFonts w:ascii="Calibri" w:cs="Calibri" w:eastAsia="Calibri" w:hAnsi="Calibri"/>
          <w:b/>
          <w:bCs/>
          <w:color w:val="1F3864"/>
          <w:sz w:val="24"/>
          <w:szCs w:val="24"/>
        </w:rPr>
        <w:t xml:space="preserve">Livrables attendus</w:t>
      </w:r>
    </w:p>
    <w:p>
      <w:pPr>
        <w:pStyle w:val="ListParagraph"/>
        <w:numPr>
          <w:ilvl w:val="0"/>
          <w:numId w:val="2"/>
        </w:numPr>
        <w:spacing w:after="40" w:before="40"/>
      </w:pPr>
      <w:r>
        <w:rPr>
          <w:rFonts w:ascii="Calibri" w:cs="Calibri" w:eastAsia="Calibri" w:hAnsi="Calibri"/>
          <w:b/>
          <w:bCs/>
          <w:color w:val="2E75B6"/>
          <w:sz w:val="21"/>
          <w:szCs w:val="21"/>
        </w:rPr>
        <w:t xml:space="preserve">Rapport de tests avec résultats</w:t>
      </w:r>
    </w:p>
    <w:p>
      <w:pPr>
        <w:pStyle w:val="ListParagraph"/>
        <w:numPr>
          <w:ilvl w:val="0"/>
          <w:numId w:val="2"/>
        </w:numPr>
        <w:spacing w:after="40" w:before="40"/>
      </w:pPr>
      <w:r>
        <w:rPr>
          <w:rFonts w:ascii="Calibri" w:cs="Calibri" w:eastAsia="Calibri" w:hAnsi="Calibri"/>
          <w:b/>
          <w:bCs/>
          <w:color w:val="2E75B6"/>
          <w:sz w:val="21"/>
          <w:szCs w:val="21"/>
        </w:rPr>
        <w:t xml:space="preserve">Application déployée sur environnement de recette</w:t>
      </w:r>
    </w:p>
    <w:p>
      <w:pPr>
        <w:pStyle w:val="ListParagraph"/>
        <w:numPr>
          <w:ilvl w:val="0"/>
          <w:numId w:val="2"/>
        </w:numPr>
        <w:spacing w:after="40" w:before="40"/>
      </w:pPr>
      <w:r>
        <w:rPr>
          <w:rFonts w:ascii="Calibri" w:cs="Calibri" w:eastAsia="Calibri" w:hAnsi="Calibri"/>
          <w:b/>
          <w:bCs/>
          <w:color w:val="2E75B6"/>
          <w:sz w:val="21"/>
          <w:szCs w:val="21"/>
        </w:rPr>
        <w:t xml:space="preserve">Liste des bugs corrigés</w:t>
      </w:r>
    </w:p>
    <w:p>
      <w:pPr>
        <w:spacing w:after="90" w:before="90"/>
      </w:pPr>
    </w:p>
    <w:p>
      <w:pPr>
        <w:spacing w:after="120" w:before="320"/>
      </w:pPr>
      <w:r>
        <w:rPr>
          <w:rFonts w:ascii="Calibri" w:cs="Calibri" w:eastAsia="Calibri" w:hAnsi="Calibri"/>
          <w:b/>
          <w:bCs/>
          <w:color w:val="2E75B6"/>
          <w:sz w:val="28"/>
          <w:szCs w:val="28"/>
        </w:rPr>
        <w:t xml:space="preserve">PHASE 6 — Rédaction du rapport TFE</w:t>
      </w:r>
    </w:p>
    <w:p>
      <w:pPr>
        <w:spacing w:after="120" w:before="60"/>
      </w:pPr>
      <w:r>
        <w:rPr>
          <w:rFonts w:ascii="Calibri" w:cs="Calibri" w:eastAsia="Calibri" w:hAnsi="Calibri"/>
          <w:b/>
          <w:bCs/>
          <w:color w:val="595959"/>
          <w:sz w:val="21"/>
          <w:szCs w:val="21"/>
        </w:rPr>
        <w:t xml:space="preserve">Statut : </w:t>
      </w:r>
      <w:r>
        <w:rPr>
          <w:rFonts w:ascii="Calibri" w:cs="Calibri" w:eastAsia="Calibri" w:hAnsi="Calibri"/>
          <w:b/>
          <w:bCs/>
          <w:color w:val="C55A11"/>
          <w:sz w:val="21"/>
          <w:szCs w:val="21"/>
        </w:rPr>
        <w:t xml:space="preserve">À PLANIFIER</w:t>
      </w:r>
      <w:r>
        <w:rPr>
          <w:rFonts w:ascii="Calibri" w:cs="Calibri" w:eastAsia="Calibri" w:hAnsi="Calibri"/>
          <w:color w:val="595959"/>
          <w:sz w:val="21"/>
          <w:szCs w:val="21"/>
        </w:rPr>
        <w:t xml:space="preserve">   |   Période : </w:t>
      </w:r>
      <w:r>
        <w:rPr>
          <w:rFonts w:ascii="Calibri" w:cs="Calibri" w:eastAsia="Calibri" w:hAnsi="Calibri"/>
          <w:b/>
          <w:bCs/>
          <w:color w:val="1F3864"/>
          <w:sz w:val="21"/>
          <w:szCs w:val="21"/>
        </w:rPr>
        <w:t xml:space="preserve">Semaines 8-12  (20 mai — 23 juin 2026)</w:t>
      </w:r>
      <w:r>
        <w:rPr>
          <w:rFonts w:ascii="Calibri" w:cs="Calibri" w:eastAsia="Calibri" w:hAnsi="Calibri"/>
          <w:color w:val="595959"/>
          <w:sz w:val="21"/>
          <w:szCs w:val="21"/>
        </w:rPr>
        <w:t xml:space="preserve">   |   Durée : </w:t>
      </w:r>
      <w:r>
        <w:rPr>
          <w:rFonts w:ascii="Calibri" w:cs="Calibri" w:eastAsia="Calibri" w:hAnsi="Calibri"/>
          <w:color w:val="595959"/>
          <w:sz w:val="21"/>
          <w:szCs w:val="21"/>
        </w:rPr>
        <w:t xml:space="preserve">5 semaines (en parallèle du développement et des tests)</w:t>
      </w:r>
    </w:p>
    <w:p>
      <w:pPr>
        <w:spacing w:after="60" w:before="60"/>
      </w:pPr>
      <w:r>
        <w:rPr>
          <w:rFonts w:ascii="Calibri" w:cs="Calibri" w:eastAsia="Calibri" w:hAnsi="Calibri"/>
          <w:i/>
          <w:iCs/>
          <w:color w:val="595959"/>
          <w:sz w:val="21"/>
          <w:szCs w:val="21"/>
        </w:rPr>
        <w:t xml:space="preserve">La rédaction commence dès la semaine 8, en parallèle du développement, afin de ne pas comprimer cette phase en fin de projet. Les documents d'analyse déjà produits (dossier d'analyse, cahier des charges, diagrammes) seront réutilisés et intégrés directement dans le rapport.</w:t>
      </w:r>
    </w:p>
    <w:p>
      <w:pPr>
        <w:spacing w:after="80" w:before="220"/>
      </w:pPr>
      <w:r>
        <w:rPr>
          <w:rFonts w:ascii="Calibri" w:cs="Calibri" w:eastAsia="Calibri" w:hAnsi="Calibri"/>
          <w:b/>
          <w:bCs/>
          <w:color w:val="1F3864"/>
          <w:sz w:val="24"/>
          <w:szCs w:val="24"/>
        </w:rPr>
        <w:t xml:space="preserve">Objectifs</w:t>
      </w:r>
    </w:p>
    <w:p>
      <w:pPr>
        <w:pStyle w:val="ListParagraph"/>
        <w:numPr>
          <w:ilvl w:val="0"/>
          <w:numId w:val="2"/>
        </w:numPr>
        <w:spacing w:after="40" w:before="40"/>
      </w:pPr>
      <w:r>
        <w:rPr>
          <w:rFonts w:ascii="Calibri" w:cs="Calibri" w:eastAsia="Calibri" w:hAnsi="Calibri"/>
          <w:color w:val="595959"/>
          <w:sz w:val="21"/>
          <w:szCs w:val="21"/>
        </w:rPr>
        <w:t xml:space="preserve">Rédiger un rapport TFE complet, professionnel et conforme aux normes de l'ISL.</w:t>
      </w:r>
    </w:p>
    <w:p>
      <w:pPr>
        <w:pStyle w:val="ListParagraph"/>
        <w:numPr>
          <w:ilvl w:val="0"/>
          <w:numId w:val="2"/>
        </w:numPr>
        <w:spacing w:after="40" w:before="40"/>
      </w:pPr>
      <w:r>
        <w:rPr>
          <w:rFonts w:ascii="Calibri" w:cs="Calibri" w:eastAsia="Calibri" w:hAnsi="Calibri"/>
          <w:color w:val="595959"/>
          <w:sz w:val="21"/>
          <w:szCs w:val="21"/>
        </w:rPr>
        <w:t xml:space="preserve">Réutiliser et compléter les documents d'analyse déjà produits.</w:t>
      </w:r>
    </w:p>
    <w:p>
      <w:pPr>
        <w:pStyle w:val="ListParagraph"/>
        <w:numPr>
          <w:ilvl w:val="0"/>
          <w:numId w:val="2"/>
        </w:numPr>
        <w:spacing w:after="40" w:before="40"/>
      </w:pPr>
      <w:r>
        <w:rPr>
          <w:rFonts w:ascii="Calibri" w:cs="Calibri" w:eastAsia="Calibri" w:hAnsi="Calibri"/>
          <w:color w:val="595959"/>
          <w:sz w:val="21"/>
          <w:szCs w:val="21"/>
        </w:rPr>
        <w:t xml:space="preserve">Documenter les choix techniques, le développement et les résultats des tests.</w:t>
      </w:r>
    </w:p>
    <w:p>
      <w:pPr>
        <w:spacing w:after="80" w:before="220"/>
      </w:pPr>
      <w:r>
        <w:rPr>
          <w:rFonts w:ascii="Calibri" w:cs="Calibri" w:eastAsia="Calibri" w:hAnsi="Calibri"/>
          <w:b/>
          <w:bCs/>
          <w:color w:val="1F3864"/>
          <w:sz w:val="24"/>
          <w:szCs w:val="24"/>
        </w:rPr>
        <w:t xml:space="preserve">Tâches à réaliser</w:t>
      </w:r>
    </w:p>
    <w:p>
      <w:pPr>
        <w:pStyle w:val="ListParagraph"/>
        <w:numPr>
          <w:ilvl w:val="0"/>
          <w:numId w:val="2"/>
        </w:numPr>
        <w:spacing w:after="40" w:before="40"/>
      </w:pPr>
      <w:r>
        <w:rPr>
          <w:rFonts w:ascii="Calibri" w:cs="Calibri" w:eastAsia="Calibri" w:hAnsi="Calibri"/>
          <w:color w:val="595959"/>
          <w:sz w:val="21"/>
          <w:szCs w:val="21"/>
        </w:rPr>
        <w:t xml:space="preserve">Introduction et contexte : présentation de CINAF v2, de l'ISL, des objectifs du TFE</w:t>
      </w:r>
    </w:p>
    <w:p>
      <w:pPr>
        <w:pStyle w:val="ListParagraph"/>
        <w:numPr>
          <w:ilvl w:val="0"/>
          <w:numId w:val="2"/>
        </w:numPr>
        <w:spacing w:after="40" w:before="40"/>
      </w:pPr>
      <w:r>
        <w:rPr>
          <w:rFonts w:ascii="Calibri" w:cs="Calibri" w:eastAsia="Calibri" w:hAnsi="Calibri"/>
          <w:color w:val="595959"/>
          <w:sz w:val="21"/>
          <w:szCs w:val="21"/>
        </w:rPr>
        <w:t xml:space="preserve">Chapitre Analyse &amp; Conception : réutilisation des diagrammes UML/BPMN et maquettes</w:t>
      </w:r>
    </w:p>
    <w:p>
      <w:pPr>
        <w:pStyle w:val="ListParagraph"/>
        <w:numPr>
          <w:ilvl w:val="0"/>
          <w:numId w:val="2"/>
        </w:numPr>
        <w:spacing w:after="40" w:before="40"/>
      </w:pPr>
      <w:r>
        <w:rPr>
          <w:rFonts w:ascii="Calibri" w:cs="Calibri" w:eastAsia="Calibri" w:hAnsi="Calibri"/>
          <w:color w:val="595959"/>
          <w:sz w:val="21"/>
          <w:szCs w:val="21"/>
        </w:rPr>
        <w:t xml:space="preserve">Chapitre Développement &amp; Implémentation : architecture technique, extraits de code, captures d'écran</w:t>
      </w:r>
    </w:p>
    <w:p>
      <w:pPr>
        <w:pStyle w:val="ListParagraph"/>
        <w:numPr>
          <w:ilvl w:val="0"/>
          <w:numId w:val="2"/>
        </w:numPr>
        <w:spacing w:after="40" w:before="40"/>
      </w:pPr>
      <w:r>
        <w:rPr>
          <w:rFonts w:ascii="Calibri" w:cs="Calibri" w:eastAsia="Calibri" w:hAnsi="Calibri"/>
          <w:color w:val="595959"/>
          <w:sz w:val="21"/>
          <w:szCs w:val="21"/>
        </w:rPr>
        <w:t xml:space="preserve">Chapitre Tests &amp; Résultats : méthodologie de test, résultats, analyse des performances</w:t>
      </w:r>
    </w:p>
    <w:p>
      <w:pPr>
        <w:pStyle w:val="ListParagraph"/>
        <w:numPr>
          <w:ilvl w:val="0"/>
          <w:numId w:val="2"/>
        </w:numPr>
        <w:spacing w:after="40" w:before="40"/>
      </w:pPr>
      <w:r>
        <w:rPr>
          <w:rFonts w:ascii="Calibri" w:cs="Calibri" w:eastAsia="Calibri" w:hAnsi="Calibri"/>
          <w:color w:val="595959"/>
          <w:sz w:val="21"/>
          <w:szCs w:val="21"/>
        </w:rPr>
        <w:t xml:space="preserve">Conclusion et perspectives d'évolution de CINAF v2</w:t>
      </w:r>
    </w:p>
    <w:p>
      <w:pPr>
        <w:pStyle w:val="ListParagraph"/>
        <w:numPr>
          <w:ilvl w:val="0"/>
          <w:numId w:val="2"/>
        </w:numPr>
        <w:spacing w:after="40" w:before="40"/>
      </w:pPr>
      <w:r>
        <w:rPr>
          <w:rFonts w:ascii="Calibri" w:cs="Calibri" w:eastAsia="Calibri" w:hAnsi="Calibri"/>
          <w:color w:val="595959"/>
          <w:sz w:val="21"/>
          <w:szCs w:val="21"/>
        </w:rPr>
        <w:t xml:space="preserve">Bibliographie et annexes (documentation technique, API, schémas)</w:t>
      </w:r>
    </w:p>
    <w:p>
      <w:pPr>
        <w:spacing w:after="80" w:before="220"/>
      </w:pPr>
      <w:r>
        <w:rPr>
          <w:rFonts w:ascii="Calibri" w:cs="Calibri" w:eastAsia="Calibri" w:hAnsi="Calibri"/>
          <w:b/>
          <w:bCs/>
          <w:color w:val="1F3864"/>
          <w:sz w:val="24"/>
          <w:szCs w:val="24"/>
        </w:rPr>
        <w:t xml:space="preserve">Livrables attendus</w:t>
      </w:r>
    </w:p>
    <w:p>
      <w:pPr>
        <w:pStyle w:val="ListParagraph"/>
        <w:numPr>
          <w:ilvl w:val="0"/>
          <w:numId w:val="2"/>
        </w:numPr>
        <w:spacing w:after="40" w:before="40"/>
      </w:pPr>
      <w:r>
        <w:rPr>
          <w:rFonts w:ascii="Calibri" w:cs="Calibri" w:eastAsia="Calibri" w:hAnsi="Calibri"/>
          <w:b/>
          <w:bCs/>
          <w:color w:val="2E75B6"/>
          <w:sz w:val="21"/>
          <w:szCs w:val="21"/>
        </w:rPr>
        <w:t xml:space="preserve">Rapport TFE — version brouillon (fin mai)</w:t>
      </w:r>
    </w:p>
    <w:p>
      <w:pPr>
        <w:pStyle w:val="ListParagraph"/>
        <w:numPr>
          <w:ilvl w:val="0"/>
          <w:numId w:val="2"/>
        </w:numPr>
        <w:spacing w:after="40" w:before="40"/>
      </w:pPr>
      <w:r>
        <w:rPr>
          <w:rFonts w:ascii="Calibri" w:cs="Calibri" w:eastAsia="Calibri" w:hAnsi="Calibri"/>
          <w:b/>
          <w:bCs/>
          <w:color w:val="2E75B6"/>
          <w:sz w:val="21"/>
          <w:szCs w:val="21"/>
        </w:rPr>
        <w:t xml:space="preserve">Rapport TFE — version finale (23 juin 2026)</w:t>
      </w:r>
    </w:p>
    <w:p>
      <w:pPr>
        <w:spacing w:after="90" w:before="90"/>
      </w:pPr>
    </w:p>
    <w:p>
      <w:pPr>
        <w:spacing w:after="120" w:before="320"/>
      </w:pPr>
      <w:r>
        <w:rPr>
          <w:rFonts w:ascii="Calibri" w:cs="Calibri" w:eastAsia="Calibri" w:hAnsi="Calibri"/>
          <w:b/>
          <w:bCs/>
          <w:color w:val="2E75B6"/>
          <w:sz w:val="28"/>
          <w:szCs w:val="28"/>
        </w:rPr>
        <w:t xml:space="preserve">PHASE 7 — Finalisation &amp; Soumission à l'ISL</w:t>
      </w:r>
    </w:p>
    <w:p>
      <w:pPr>
        <w:spacing w:after="120" w:before="60"/>
      </w:pPr>
      <w:r>
        <w:rPr>
          <w:rFonts w:ascii="Calibri" w:cs="Calibri" w:eastAsia="Calibri" w:hAnsi="Calibri"/>
          <w:b/>
          <w:bCs/>
          <w:color w:val="595959"/>
          <w:sz w:val="21"/>
          <w:szCs w:val="21"/>
        </w:rPr>
        <w:t xml:space="preserve">Statut : </w:t>
      </w:r>
      <w:r>
        <w:rPr>
          <w:rFonts w:ascii="Calibri" w:cs="Calibri" w:eastAsia="Calibri" w:hAnsi="Calibri"/>
          <w:b/>
          <w:bCs/>
          <w:color w:val="1F3864"/>
          <w:sz w:val="21"/>
          <w:szCs w:val="21"/>
        </w:rPr>
        <w:t xml:space="preserve">DEADLINE FINALE</w:t>
      </w:r>
      <w:r>
        <w:rPr>
          <w:rFonts w:ascii="Calibri" w:cs="Calibri" w:eastAsia="Calibri" w:hAnsi="Calibri"/>
          <w:color w:val="595959"/>
          <w:sz w:val="21"/>
          <w:szCs w:val="21"/>
        </w:rPr>
        <w:t xml:space="preserve">   |   Période : </w:t>
      </w:r>
      <w:r>
        <w:rPr>
          <w:rFonts w:ascii="Calibri" w:cs="Calibri" w:eastAsia="Calibri" w:hAnsi="Calibri"/>
          <w:b/>
          <w:bCs/>
          <w:color w:val="1F3864"/>
          <w:sz w:val="21"/>
          <w:szCs w:val="21"/>
        </w:rPr>
        <w:t xml:space="preserve">Semaines 12-13  (17 — 30 juin 2026)</w:t>
      </w:r>
      <w:r>
        <w:rPr>
          <w:rFonts w:ascii="Calibri" w:cs="Calibri" w:eastAsia="Calibri" w:hAnsi="Calibri"/>
          <w:color w:val="595959"/>
          <w:sz w:val="21"/>
          <w:szCs w:val="21"/>
        </w:rPr>
        <w:t xml:space="preserve">   |   Durée : </w:t>
      </w:r>
      <w:r>
        <w:rPr>
          <w:rFonts w:ascii="Calibri" w:cs="Calibri" w:eastAsia="Calibri" w:hAnsi="Calibri"/>
          <w:color w:val="595959"/>
          <w:sz w:val="21"/>
          <w:szCs w:val="21"/>
        </w:rPr>
        <w:t xml:space="preserve">2 semaines</w:t>
      </w:r>
    </w:p>
    <w:p>
      <w:pPr>
        <w:spacing w:after="60" w:before="60"/>
      </w:pPr>
      <w:r>
        <w:rPr>
          <w:rFonts w:ascii="Calibri" w:cs="Calibri" w:eastAsia="Calibri" w:hAnsi="Calibri"/>
          <w:i/>
          <w:iCs/>
          <w:color w:val="595959"/>
          <w:sz w:val="21"/>
          <w:szCs w:val="21"/>
        </w:rPr>
        <w:t xml:space="preserve">Cette phase finale est critique : toute la qualité du TFE dépend du soin apporté à la relecture, à la mise en forme et à la préparation de la soutenance. La soumission officielle doit impérativement intervenir avant la fin du mois de juin 2026.</w:t>
      </w:r>
    </w:p>
    <w:p>
      <w:pPr>
        <w:spacing w:after="80" w:before="220"/>
      </w:pPr>
      <w:r>
        <w:rPr>
          <w:rFonts w:ascii="Calibri" w:cs="Calibri" w:eastAsia="Calibri" w:hAnsi="Calibri"/>
          <w:b/>
          <w:bCs/>
          <w:color w:val="1F3864"/>
          <w:sz w:val="24"/>
          <w:szCs w:val="24"/>
        </w:rPr>
        <w:t xml:space="preserve">Objectifs</w:t>
      </w:r>
    </w:p>
    <w:p>
      <w:pPr>
        <w:pStyle w:val="ListParagraph"/>
        <w:numPr>
          <w:ilvl w:val="0"/>
          <w:numId w:val="2"/>
        </w:numPr>
        <w:spacing w:after="40" w:before="40"/>
      </w:pPr>
      <w:r>
        <w:rPr>
          <w:rFonts w:ascii="Calibri" w:cs="Calibri" w:eastAsia="Calibri" w:hAnsi="Calibri"/>
          <w:color w:val="595959"/>
          <w:sz w:val="21"/>
          <w:szCs w:val="21"/>
        </w:rPr>
        <w:t xml:space="preserve">Soumettre le TFE dans les délais impartis à l'Institut Saint Laurent (ISL), Liège.</w:t>
      </w:r>
    </w:p>
    <w:p>
      <w:pPr>
        <w:pStyle w:val="ListParagraph"/>
        <w:numPr>
          <w:ilvl w:val="0"/>
          <w:numId w:val="2"/>
        </w:numPr>
        <w:spacing w:after="40" w:before="40"/>
      </w:pPr>
      <w:r>
        <w:rPr>
          <w:rFonts w:ascii="Calibri" w:cs="Calibri" w:eastAsia="Calibri" w:hAnsi="Calibri"/>
          <w:color w:val="595959"/>
          <w:sz w:val="21"/>
          <w:szCs w:val="21"/>
        </w:rPr>
        <w:t xml:space="preserve">Préparer et répéter la présentation orale.</w:t>
      </w:r>
    </w:p>
    <w:p>
      <w:pPr>
        <w:spacing w:after="80" w:before="220"/>
      </w:pPr>
      <w:r>
        <w:rPr>
          <w:rFonts w:ascii="Calibri" w:cs="Calibri" w:eastAsia="Calibri" w:hAnsi="Calibri"/>
          <w:b/>
          <w:bCs/>
          <w:color w:val="1F3864"/>
          <w:sz w:val="24"/>
          <w:szCs w:val="24"/>
        </w:rPr>
        <w:t xml:space="preserve">Tâches à réaliser</w:t>
      </w:r>
    </w:p>
    <w:p>
      <w:pPr>
        <w:pStyle w:val="ListParagraph"/>
        <w:numPr>
          <w:ilvl w:val="0"/>
          <w:numId w:val="2"/>
        </w:numPr>
        <w:spacing w:after="40" w:before="40"/>
      </w:pPr>
      <w:r>
        <w:rPr>
          <w:rFonts w:ascii="Calibri" w:cs="Calibri" w:eastAsia="Calibri" w:hAnsi="Calibri"/>
          <w:color w:val="595959"/>
          <w:sz w:val="21"/>
          <w:szCs w:val="21"/>
        </w:rPr>
        <w:t xml:space="preserve">Relecture complète du rapport TFE : corrections orthographiques, stylistiques et de contenu</w:t>
      </w:r>
    </w:p>
    <w:p>
      <w:pPr>
        <w:pStyle w:val="ListParagraph"/>
        <w:numPr>
          <w:ilvl w:val="0"/>
          <w:numId w:val="2"/>
        </w:numPr>
        <w:spacing w:after="40" w:before="40"/>
      </w:pPr>
      <w:r>
        <w:rPr>
          <w:rFonts w:ascii="Calibri" w:cs="Calibri" w:eastAsia="Calibri" w:hAnsi="Calibri"/>
          <w:color w:val="595959"/>
          <w:sz w:val="21"/>
          <w:szCs w:val="21"/>
        </w:rPr>
        <w:t xml:space="preserve">Mise en forme finale selon les normes de l'ISL (pagination, sommaire, bibliographie)</w:t>
      </w:r>
    </w:p>
    <w:p>
      <w:pPr>
        <w:pStyle w:val="ListParagraph"/>
        <w:numPr>
          <w:ilvl w:val="0"/>
          <w:numId w:val="2"/>
        </w:numPr>
        <w:spacing w:after="40" w:before="40"/>
      </w:pPr>
      <w:r>
        <w:rPr>
          <w:rFonts w:ascii="Calibri" w:cs="Calibri" w:eastAsia="Calibri" w:hAnsi="Calibri"/>
          <w:color w:val="595959"/>
          <w:sz w:val="21"/>
          <w:szCs w:val="21"/>
        </w:rPr>
        <w:t xml:space="preserve">Soumission officielle du TFE à l'Institut Saint Laurent (ISL), Liège, Belgique</w:t>
      </w:r>
    </w:p>
    <w:p>
      <w:pPr>
        <w:pStyle w:val="ListParagraph"/>
        <w:numPr>
          <w:ilvl w:val="0"/>
          <w:numId w:val="2"/>
        </w:numPr>
        <w:spacing w:after="40" w:before="40"/>
      </w:pPr>
      <w:r>
        <w:rPr>
          <w:rFonts w:ascii="Calibri" w:cs="Calibri" w:eastAsia="Calibri" w:hAnsi="Calibri"/>
          <w:color w:val="595959"/>
          <w:sz w:val="21"/>
          <w:szCs w:val="21"/>
        </w:rPr>
        <w:t xml:space="preserve">Préparation de la présentation orale : slides PowerPoint, démonstration live de CINAF v2</w:t>
      </w:r>
    </w:p>
    <w:p>
      <w:pPr>
        <w:spacing w:after="80" w:before="220"/>
      </w:pPr>
      <w:r>
        <w:rPr>
          <w:rFonts w:ascii="Calibri" w:cs="Calibri" w:eastAsia="Calibri" w:hAnsi="Calibri"/>
          <w:b/>
          <w:bCs/>
          <w:color w:val="1F3864"/>
          <w:sz w:val="24"/>
          <w:szCs w:val="24"/>
        </w:rPr>
        <w:t xml:space="preserve">Livrables attendus</w:t>
      </w:r>
    </w:p>
    <w:p>
      <w:pPr>
        <w:pStyle w:val="ListParagraph"/>
        <w:numPr>
          <w:ilvl w:val="0"/>
          <w:numId w:val="2"/>
        </w:numPr>
        <w:spacing w:after="40" w:before="40"/>
      </w:pPr>
      <w:r>
        <w:rPr>
          <w:rFonts w:ascii="Calibri" w:cs="Calibri" w:eastAsia="Calibri" w:hAnsi="Calibri"/>
          <w:b/>
          <w:bCs/>
          <w:color w:val="2E75B6"/>
          <w:sz w:val="21"/>
          <w:szCs w:val="21"/>
        </w:rPr>
        <w:t xml:space="preserve">TFE officiellement soumis à l'ISL</w:t>
      </w:r>
    </w:p>
    <w:p>
      <w:pPr>
        <w:pStyle w:val="ListParagraph"/>
        <w:numPr>
          <w:ilvl w:val="0"/>
          <w:numId w:val="2"/>
        </w:numPr>
        <w:spacing w:after="40" w:before="40"/>
      </w:pPr>
      <w:r>
        <w:rPr>
          <w:rFonts w:ascii="Calibri" w:cs="Calibri" w:eastAsia="Calibri" w:hAnsi="Calibri"/>
          <w:b/>
          <w:bCs/>
          <w:color w:val="2E75B6"/>
          <w:sz w:val="21"/>
          <w:szCs w:val="21"/>
        </w:rPr>
        <w:t xml:space="preserve">Support de présentation orale finalisé</w:t>
      </w:r>
    </w:p>
    <w:p>
      <w:pPr>
        <w:spacing w:after="90" w:before="90"/>
      </w:pPr>
    </w:p>
    <w:p>
      <w:r>
        <w:br w:type="page"/>
      </w:r>
    </w:p>
    <w:p>
      <w:pPr>
        <w:pBdr>
          <w:bottom w:val="single" w:color="2E75B6" w:sz="10" w:space="4"/>
        </w:pBdr>
        <w:spacing w:after="180" w:before="440"/>
      </w:pPr>
      <w:r>
        <w:rPr>
          <w:rFonts w:ascii="Calibri" w:cs="Calibri" w:eastAsia="Calibri" w:hAnsi="Calibri"/>
          <w:b/>
          <w:bCs/>
          <w:color w:val="1F3864"/>
          <w:sz w:val="36"/>
          <w:szCs w:val="36"/>
        </w:rPr>
        <w:t xml:space="preserve">3. TABLEAU RÉCAPITULATIF DES LIVRABLES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426"/>
      </w:tblGrid>
      <w:tr>
        <w:tc>
          <w:tcPr>
            <w:tcW w:type="dxa" w:w="4000"/>
            <w:tcBorders>
              <w:top w:val="single" w:color="FFFFFF" w:sz="6"/>
              <w:left w:val="single" w:color="FFFFFF" w:sz="6"/>
              <w:bottom w:val="single" w:color="FFFFFF" w:sz="6"/>
              <w:right w:val="single" w:color="FFFFFF" w:sz="6"/>
            </w:tcBorders>
            <w:shd w:fill="1F3864"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FFFFFF"/>
                <w:sz w:val="20"/>
                <w:szCs w:val="20"/>
              </w:rPr>
              <w:t xml:space="preserve">Livrable</w:t>
            </w:r>
          </w:p>
        </w:tc>
        <w:tc>
          <w:tcPr>
            <w:tcW w:type="dxa" w:w="1800"/>
            <w:tcBorders>
              <w:top w:val="single" w:color="FFFFFF" w:sz="6"/>
              <w:left w:val="single" w:color="FFFFFF" w:sz="6"/>
              <w:bottom w:val="single" w:color="FFFFFF" w:sz="6"/>
              <w:right w:val="single" w:color="FFFFFF" w:sz="6"/>
            </w:tcBorders>
            <w:shd w:fill="1F3864"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FFFFFF"/>
                <w:sz w:val="20"/>
                <w:szCs w:val="20"/>
              </w:rPr>
              <w:t xml:space="preserve">Phase</w:t>
            </w:r>
          </w:p>
        </w:tc>
        <w:tc>
          <w:tcPr>
            <w:tcW w:type="dxa" w:w="1800"/>
            <w:tcBorders>
              <w:top w:val="single" w:color="FFFFFF" w:sz="6"/>
              <w:left w:val="single" w:color="FFFFFF" w:sz="6"/>
              <w:bottom w:val="single" w:color="FFFFFF" w:sz="6"/>
              <w:right w:val="single" w:color="FFFFFF" w:sz="6"/>
            </w:tcBorders>
            <w:shd w:fill="1F3864"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FFFFFF"/>
                <w:sz w:val="20"/>
                <w:szCs w:val="20"/>
              </w:rPr>
              <w:t xml:space="preserve">Date cible</w:t>
            </w:r>
          </w:p>
        </w:tc>
        <w:tc>
          <w:tcPr>
            <w:tcW w:type="dxa" w:w="1426"/>
            <w:tcBorders>
              <w:top w:val="single" w:color="FFFFFF" w:sz="6"/>
              <w:left w:val="single" w:color="FFFFFF" w:sz="6"/>
              <w:bottom w:val="single" w:color="FFFFFF" w:sz="6"/>
              <w:right w:val="single" w:color="FFFFFF" w:sz="6"/>
            </w:tcBorders>
            <w:shd w:fill="1F3864"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FFFFFF"/>
                <w:sz w:val="20"/>
                <w:szCs w:val="20"/>
              </w:rPr>
              <w:t xml:space="preserve">Statut</w:t>
            </w:r>
          </w:p>
        </w:tc>
      </w:tr>
      <w:tr>
        <w:tc>
          <w:tcPr>
            <w:tcW w:type="dxa" w:w="40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Diagrammes de séquence UML finalisés</w:t>
            </w:r>
          </w:p>
        </w:tc>
        <w:tc>
          <w:tcPr>
            <w:tcW w:type="dxa" w:w="18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1</w:t>
            </w:r>
          </w:p>
        </w:tc>
        <w:tc>
          <w:tcPr>
            <w:tcW w:type="dxa" w:w="18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7 avr. 2026</w:t>
            </w:r>
          </w:p>
        </w:tc>
        <w:tc>
          <w:tcPr>
            <w:tcW w:type="dxa" w:w="1426"/>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En cours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Maquettes UI/UX (wireframes)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14 avr. 2026</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réaliser</w:t>
            </w:r>
          </w:p>
        </w:tc>
      </w:tr>
      <w:tr>
        <w:tc>
          <w:tcPr>
            <w:tcW w:type="dxa" w:w="4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Environnement Docker fonctionnel</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2</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14 avr. 2026</w:t>
            </w:r>
          </w:p>
        </w:tc>
        <w:tc>
          <w:tcPr>
            <w:tcW w:type="dxa" w:w="14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démarrer</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Projets Symfony 7 + Next.js 14 initialisés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2</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21 avr. 2026</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démarrer</w:t>
            </w:r>
          </w:p>
        </w:tc>
      </w:tr>
      <w:tr>
        <w:tc>
          <w:tcPr>
            <w:tcW w:type="dxa" w:w="4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Repository GitHub structuré</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2</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21 avr. 2026</w:t>
            </w:r>
          </w:p>
        </w:tc>
        <w:tc>
          <w:tcPr>
            <w:tcW w:type="dxa" w:w="14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démarrer</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API Authentification (JWT + RGPD)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3</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21 avr. 2026</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API Abonnement &amp; Paiement Stripe</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3</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5 mai 2026</w:t>
            </w:r>
          </w:p>
        </w:tc>
        <w:tc>
          <w:tcPr>
            <w:tcW w:type="dxa" w:w="14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API Catalogue &amp; Contenu</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3</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12 mai 2026</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API Studio de Production</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3</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19 mai 2026</w:t>
            </w:r>
          </w:p>
        </w:tc>
        <w:tc>
          <w:tcPr>
            <w:tcW w:type="dxa" w:w="14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API Lecteur vidéo Bunny.net</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3</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19 mai 2026</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API Modération &amp; Administration + KPI</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3</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26 mai 2026</w:t>
            </w:r>
          </w:p>
        </w:tc>
        <w:tc>
          <w:tcPr>
            <w:tcW w:type="dxa" w:w="14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Interface publique Next.js (accueil, catalogue)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4</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12 mai 2026</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Espace abonné (profil, favoris, abonnement)</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4</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19 mai 2026</w:t>
            </w:r>
          </w:p>
        </w:tc>
        <w:tc>
          <w:tcPr>
            <w:tcW w:type="dxa" w:w="14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Studio créateur &amp; Interface admin</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4</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26 mai 2026</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Intégration Stripe + lecteur Bunny.net</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4</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2 jui. 2026</w:t>
            </w:r>
          </w:p>
        </w:tc>
        <w:tc>
          <w:tcPr>
            <w:tcW w:type="dxa" w:w="14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développer</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Rapport de tests complet</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5</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9 jui. 2026</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planifier</w:t>
            </w:r>
          </w:p>
        </w:tc>
      </w:tr>
      <w:tr>
        <w:tc>
          <w:tcPr>
            <w:tcW w:type="dxa" w:w="4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Application déployée sur recette</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5</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9 jui. 2026</w:t>
            </w:r>
          </w:p>
        </w:tc>
        <w:tc>
          <w:tcPr>
            <w:tcW w:type="dxa" w:w="14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planifier</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Rapport TFE — version brouillon</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6</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16 jui. 2026</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rédiger</w:t>
            </w:r>
          </w:p>
        </w:tc>
      </w:tr>
      <w:tr>
        <w:tc>
          <w:tcPr>
            <w:tcW w:type="dxa" w:w="40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Rapport TFE — version finale</w:t>
            </w:r>
          </w:p>
        </w:tc>
        <w:tc>
          <w:tcPr>
            <w:tcW w:type="dxa" w:w="18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6</w:t>
            </w:r>
          </w:p>
        </w:tc>
        <w:tc>
          <w:tcPr>
            <w:tcW w:type="dxa" w:w="18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23 jui. 2026</w:t>
            </w:r>
          </w:p>
        </w:tc>
        <w:tc>
          <w:tcPr>
            <w:tcW w:type="dxa" w:w="1426"/>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rédiger</w:t>
            </w:r>
          </w:p>
        </w:tc>
      </w:tr>
      <w:tr>
        <w:tc>
          <w:tcPr>
            <w:tcW w:type="dxa" w:w="4000"/>
            <w:tcBorders>
              <w:top w:val="single" w:color="CCCCCC" w:sz="4"/>
              <w:left w:val="single" w:color="CCCCCC" w:sz="4"/>
              <w:bottom w:val="single" w:color="CCCCCC" w:sz="4"/>
              <w:right w:val="single" w:color="CCCCCC" w:sz="4"/>
            </w:tcBorders>
            <w:shd w:fill="FCE4D6"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TFE soumis officiellement a l'ISL</w:t>
            </w:r>
          </w:p>
        </w:tc>
        <w:tc>
          <w:tcPr>
            <w:tcW w:type="dxa" w:w="1800"/>
            <w:tcBorders>
              <w:top w:val="single" w:color="CCCCCC" w:sz="4"/>
              <w:left w:val="single" w:color="CCCCCC" w:sz="4"/>
              <w:bottom w:val="single" w:color="CCCCCC" w:sz="4"/>
              <w:right w:val="single" w:color="CCCCCC" w:sz="4"/>
            </w:tcBorders>
            <w:shd w:fill="FCE4D6"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7</w:t>
            </w:r>
          </w:p>
        </w:tc>
        <w:tc>
          <w:tcPr>
            <w:tcW w:type="dxa" w:w="1800"/>
            <w:tcBorders>
              <w:top w:val="single" w:color="CCCCCC" w:sz="4"/>
              <w:left w:val="single" w:color="CCCCCC" w:sz="4"/>
              <w:bottom w:val="single" w:color="CCCCCC" w:sz="4"/>
              <w:right w:val="single" w:color="CCCCCC" w:sz="4"/>
            </w:tcBorders>
            <w:shd w:fill="FCE4D6"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28 jui. 2026</w:t>
            </w:r>
          </w:p>
        </w:tc>
        <w:tc>
          <w:tcPr>
            <w:tcW w:type="dxa" w:w="1426"/>
            <w:tcBorders>
              <w:top w:val="single" w:color="CCCCCC" w:sz="4"/>
              <w:left w:val="single" w:color="CCCCCC" w:sz="4"/>
              <w:bottom w:val="single" w:color="CCCCCC" w:sz="4"/>
              <w:right w:val="single" w:color="CCCCCC" w:sz="4"/>
            </w:tcBorders>
            <w:shd w:fill="FCE4D6"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C55A11"/>
                <w:sz w:val="19"/>
                <w:szCs w:val="19"/>
              </w:rPr>
              <w:t xml:space="preserve">DEADLINE</w:t>
            </w:r>
          </w:p>
        </w:tc>
      </w:tr>
      <w:tr>
        <w:tc>
          <w:tcPr>
            <w:tcW w:type="dxa" w:w="4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Présentation orale préparée</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Phase 7</w:t>
            </w:r>
          </w:p>
        </w:tc>
        <w:tc>
          <w:tcPr>
            <w:tcW w:type="dxa" w:w="18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30 jui. 2026</w:t>
            </w:r>
          </w:p>
        </w:tc>
        <w:tc>
          <w:tcPr>
            <w:tcW w:type="dxa" w:w="14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val="false"/>
                <w:bCs w:val="false"/>
                <w:i w:val="false"/>
                <w:iCs w:val="false"/>
                <w:color w:val="595959"/>
                <w:sz w:val="19"/>
                <w:szCs w:val="19"/>
              </w:rPr>
              <w:t xml:space="preserve">A préparer</w:t>
            </w:r>
          </w:p>
        </w:tc>
      </w:tr>
    </w:tbl>
    <w:p>
      <w:r>
        <w:br w:type="page"/>
      </w:r>
    </w:p>
    <w:p>
      <w:pPr>
        <w:pBdr>
          <w:bottom w:val="single" w:color="2E75B6" w:sz="10" w:space="4"/>
        </w:pBdr>
        <w:spacing w:after="180" w:before="440"/>
      </w:pPr>
      <w:r>
        <w:rPr>
          <w:rFonts w:ascii="Calibri" w:cs="Calibri" w:eastAsia="Calibri" w:hAnsi="Calibri"/>
          <w:b/>
          <w:bCs/>
          <w:color w:val="1F3864"/>
          <w:sz w:val="36"/>
          <w:szCs w:val="36"/>
        </w:rPr>
        <w:t xml:space="preserve">4. JALONS CLÉS (MILESTONES)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c>
          <w:tcPr>
            <w:tcW w:type="dxa" w:w="1900"/>
            <w:tcBorders>
              <w:top w:val="single" w:color="FFFFFF" w:sz="6"/>
              <w:left w:val="single" w:color="FFFFFF" w:sz="6"/>
              <w:bottom w:val="single" w:color="FFFFFF" w:sz="6"/>
              <w:right w:val="single" w:color="FFFFFF" w:sz="6"/>
            </w:tcBorders>
            <w:shd w:fill="1F3864"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FFFFFF"/>
                <w:sz w:val="20"/>
                <w:szCs w:val="20"/>
              </w:rPr>
              <w:t xml:space="preserve">Date</w:t>
            </w:r>
          </w:p>
        </w:tc>
        <w:tc>
          <w:tcPr>
            <w:tcW w:type="dxa" w:w="3300"/>
            <w:tcBorders>
              <w:top w:val="single" w:color="FFFFFF" w:sz="6"/>
              <w:left w:val="single" w:color="FFFFFF" w:sz="6"/>
              <w:bottom w:val="single" w:color="FFFFFF" w:sz="6"/>
              <w:right w:val="single" w:color="FFFFFF" w:sz="6"/>
            </w:tcBorders>
            <w:shd w:fill="1F3864"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FFFFFF"/>
                <w:sz w:val="20"/>
                <w:szCs w:val="20"/>
              </w:rPr>
              <w:t xml:space="preserve">Jalon (Milestone)</w:t>
            </w:r>
          </w:p>
        </w:tc>
        <w:tc>
          <w:tcPr>
            <w:tcW w:type="dxa" w:w="3826"/>
            <w:tcBorders>
              <w:top w:val="single" w:color="FFFFFF" w:sz="6"/>
              <w:left w:val="single" w:color="FFFFFF" w:sz="6"/>
              <w:bottom w:val="single" w:color="FFFFFF" w:sz="6"/>
              <w:right w:val="single" w:color="FFFFFF" w:sz="6"/>
            </w:tcBorders>
            <w:shd w:fill="1F3864"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FFFFFF"/>
                <w:sz w:val="20"/>
                <w:szCs w:val="20"/>
              </w:rPr>
              <w:t xml:space="preserve">Description</w:t>
            </w:r>
          </w:p>
        </w:tc>
      </w:tr>
      <w:tr>
        <w:tc>
          <w:tcPr>
            <w:tcW w:type="dxa" w:w="190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1F3864"/>
                <w:sz w:val="19"/>
                <w:szCs w:val="19"/>
              </w:rPr>
              <w:t xml:space="preserve">14 avr. 2026</w:t>
            </w:r>
          </w:p>
        </w:tc>
        <w:tc>
          <w:tcPr>
            <w:tcW w:type="dxa" w:w="330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1F3864"/>
                <w:sz w:val="19"/>
                <w:szCs w:val="19"/>
              </w:rPr>
              <w:t xml:space="preserve">M1 — Conception finalisée</w:t>
            </w:r>
          </w:p>
        </w:tc>
        <w:tc>
          <w:tcPr>
            <w:tcW w:type="dxa" w:w="3826"/>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Tous les diagrammes UML et maquettes UI/UX sont complétés et validés.</w:t>
            </w:r>
          </w:p>
        </w:tc>
      </w:tr>
      <w:tr>
        <w:tc>
          <w:tcPr>
            <w:tcW w:type="dxa" w:w="190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1F3864"/>
                <w:sz w:val="19"/>
                <w:szCs w:val="19"/>
              </w:rPr>
              <w:t xml:space="preserve">21 avr. 2026</w:t>
            </w:r>
          </w:p>
        </w:tc>
        <w:tc>
          <w:tcPr>
            <w:tcW w:type="dxa" w:w="330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1F3864"/>
                <w:sz w:val="19"/>
                <w:szCs w:val="19"/>
              </w:rPr>
              <w:t xml:space="preserve">M2 — Environnement opérationnel</w:t>
            </w:r>
          </w:p>
        </w:tc>
        <w:tc>
          <w:tcPr>
            <w:tcW w:type="dxa" w:w="3826"/>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Environnement Docker complet (Symfony, Next.js, MySQL 8) fonctionnel. Repository GitHub configuré.</w:t>
            </w:r>
          </w:p>
        </w:tc>
      </w:tr>
      <w:tr>
        <w:tc>
          <w:tcPr>
            <w:tcW w:type="dxa" w:w="19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1F3864"/>
                <w:sz w:val="19"/>
                <w:szCs w:val="19"/>
              </w:rPr>
              <w:t xml:space="preserve">5 mai 2026</w:t>
            </w:r>
          </w:p>
        </w:tc>
        <w:tc>
          <w:tcPr>
            <w:tcW w:type="dxa" w:w="33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1F3864"/>
                <w:sz w:val="19"/>
                <w:szCs w:val="19"/>
              </w:rPr>
              <w:t xml:space="preserve">M3 — Auth &amp; Paiement opérationnels</w:t>
            </w:r>
          </w:p>
        </w:tc>
        <w:tc>
          <w:tcPr>
            <w:tcW w:type="dxa" w:w="38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Module d'authentification JWT et module Paiement Stripe (abonnements CINAF) développés et testés.</w:t>
            </w:r>
          </w:p>
        </w:tc>
      </w:tr>
      <w:tr>
        <w:tc>
          <w:tcPr>
            <w:tcW w:type="dxa" w:w="19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1F3864"/>
                <w:sz w:val="19"/>
                <w:szCs w:val="19"/>
              </w:rPr>
              <w:t xml:space="preserve">26 mai 2026</w:t>
            </w:r>
          </w:p>
        </w:tc>
        <w:tc>
          <w:tcPr>
            <w:tcW w:type="dxa" w:w="33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1F3864"/>
                <w:sz w:val="19"/>
                <w:szCs w:val="19"/>
              </w:rPr>
              <w:t xml:space="preserve">M4 — Backend complet</w:t>
            </w:r>
          </w:p>
        </w:tc>
        <w:tc>
          <w:tcPr>
            <w:tcW w:type="dxa" w:w="38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Ensemble des 7 modules API REST de CINAF v2 développés et documentés (Swagger/OpenAPI).</w:t>
            </w:r>
          </w:p>
        </w:tc>
      </w:tr>
      <w:tr>
        <w:tc>
          <w:tcPr>
            <w:tcW w:type="dxa" w:w="19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1F3864"/>
                <w:sz w:val="19"/>
                <w:szCs w:val="19"/>
              </w:rPr>
              <w:t xml:space="preserve">2 jui. 2026</w:t>
            </w:r>
          </w:p>
        </w:tc>
        <w:tc>
          <w:tcPr>
            <w:tcW w:type="dxa" w:w="33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1F3864"/>
                <w:sz w:val="19"/>
                <w:szCs w:val="19"/>
              </w:rPr>
              <w:t xml:space="preserve">M5 — Frontend complet</w:t>
            </w:r>
          </w:p>
        </w:tc>
        <w:tc>
          <w:tcPr>
            <w:tcW w:type="dxa" w:w="3826"/>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Toutes les interfaces Next.js développées et intégrées avec le backend. Application fonctionnelle.</w:t>
            </w:r>
          </w:p>
        </w:tc>
      </w:tr>
      <w:tr>
        <w:tc>
          <w:tcPr>
            <w:tcW w:type="dxa" w:w="19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1F3864"/>
                <w:sz w:val="19"/>
                <w:szCs w:val="19"/>
              </w:rPr>
              <w:t xml:space="preserve">9 jui. 2026</w:t>
            </w:r>
          </w:p>
        </w:tc>
        <w:tc>
          <w:tcPr>
            <w:tcW w:type="dxa" w:w="33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1F3864"/>
                <w:sz w:val="19"/>
                <w:szCs w:val="19"/>
              </w:rPr>
              <w:t xml:space="preserve">M6 — Tests &amp; Recette validés</w:t>
            </w:r>
          </w:p>
        </w:tc>
        <w:tc>
          <w:tcPr>
            <w:tcW w:type="dxa" w:w="3826"/>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Tests effectués, bugs corrigés, application déployée sur environnement de recette.</w:t>
            </w:r>
          </w:p>
        </w:tc>
      </w:tr>
      <w:tr>
        <w:tc>
          <w:tcPr>
            <w:tcW w:type="dxa" w:w="19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1F3864"/>
                <w:sz w:val="19"/>
                <w:szCs w:val="19"/>
              </w:rPr>
              <w:t xml:space="preserve">23 jui. 2026</w:t>
            </w:r>
          </w:p>
        </w:tc>
        <w:tc>
          <w:tcPr>
            <w:tcW w:type="dxa" w:w="3300"/>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1F3864"/>
                <w:sz w:val="19"/>
                <w:szCs w:val="19"/>
              </w:rPr>
              <w:t xml:space="preserve">M7 — Rapport TFE finalisé</w:t>
            </w:r>
          </w:p>
        </w:tc>
        <w:tc>
          <w:tcPr>
            <w:tcW w:type="dxa" w:w="3826"/>
            <w:tcBorders>
              <w:top w:val="single" w:color="CCCCCC" w:sz="4"/>
              <w:left w:val="single" w:color="CCCCCC" w:sz="4"/>
              <w:bottom w:val="single" w:color="CCCCCC" w:sz="4"/>
              <w:right w:val="single" w:color="CCCCCC" w:sz="4"/>
            </w:tcBorders>
            <w:shd w:fill="FFF2CC"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Rapport TFE complet et mis en forme selon les normes ISL, prêt pour relecture finale.</w:t>
            </w:r>
          </w:p>
        </w:tc>
      </w:tr>
      <w:tr>
        <w:tc>
          <w:tcPr>
            <w:tcW w:type="dxa" w:w="1900"/>
            <w:tcBorders>
              <w:top w:val="single" w:color="CCCCCC" w:sz="4"/>
              <w:left w:val="single" w:color="CCCCCC" w:sz="4"/>
              <w:bottom w:val="single" w:color="CCCCCC" w:sz="4"/>
              <w:right w:val="single" w:color="CCCCCC" w:sz="4"/>
            </w:tcBorders>
            <w:shd w:fill="FCE4D6" w:val="clear"/>
            <w:tcMar>
              <w:top w:type="dxa" w:w="100"/>
              <w:left w:type="dxa" w:w="130"/>
              <w:bottom w:type="dxa" w:w="100"/>
              <w:right w:type="dxa" w:w="80"/>
            </w:tcMar>
            <w:vAlign w:val="center"/>
          </w:tcPr>
          <w:p>
            <w:pPr>
              <w:spacing w:after="0" w:before="0"/>
              <w:jc w:val="center"/>
            </w:pPr>
            <w:r>
              <w:rPr>
                <w:rFonts w:ascii="Calibri" w:cs="Calibri" w:eastAsia="Calibri" w:hAnsi="Calibri"/>
                <w:b/>
                <w:bCs/>
                <w:i w:val="false"/>
                <w:iCs w:val="false"/>
                <w:color w:val="C55A11"/>
                <w:sz w:val="19"/>
                <w:szCs w:val="19"/>
              </w:rPr>
              <w:t xml:space="preserve">30 jui. 2026</w:t>
            </w:r>
          </w:p>
        </w:tc>
        <w:tc>
          <w:tcPr>
            <w:tcW w:type="dxa" w:w="3300"/>
            <w:tcBorders>
              <w:top w:val="single" w:color="CCCCCC" w:sz="4"/>
              <w:left w:val="single" w:color="CCCCCC" w:sz="4"/>
              <w:bottom w:val="single" w:color="CCCCCC" w:sz="4"/>
              <w:right w:val="single" w:color="CCCCCC" w:sz="4"/>
            </w:tcBorders>
            <w:shd w:fill="FCE4D6" w:val="clear"/>
            <w:tcMar>
              <w:top w:type="dxa" w:w="100"/>
              <w:left w:type="dxa" w:w="130"/>
              <w:bottom w:type="dxa" w:w="100"/>
              <w:right w:type="dxa" w:w="80"/>
            </w:tcMar>
            <w:vAlign w:val="center"/>
          </w:tcPr>
          <w:p>
            <w:pPr>
              <w:spacing w:after="0" w:before="0"/>
              <w:jc w:val="left"/>
            </w:pPr>
            <w:r>
              <w:rPr>
                <w:rFonts w:ascii="Calibri" w:cs="Calibri" w:eastAsia="Calibri" w:hAnsi="Calibri"/>
                <w:b/>
                <w:bCs/>
                <w:i w:val="false"/>
                <w:iCs w:val="false"/>
                <w:color w:val="C55A11"/>
                <w:sz w:val="19"/>
                <w:szCs w:val="19"/>
              </w:rPr>
              <w:t xml:space="preserve">M8 — SOUMISSION OFFICIELLE ISL</w:t>
            </w:r>
          </w:p>
        </w:tc>
        <w:tc>
          <w:tcPr>
            <w:tcW w:type="dxa" w:w="3826"/>
            <w:tcBorders>
              <w:top w:val="single" w:color="CCCCCC" w:sz="4"/>
              <w:left w:val="single" w:color="CCCCCC" w:sz="4"/>
              <w:bottom w:val="single" w:color="CCCCCC" w:sz="4"/>
              <w:right w:val="single" w:color="CCCCCC" w:sz="4"/>
            </w:tcBorders>
            <w:shd w:fill="FCE4D6" w:val="clear"/>
            <w:tcMar>
              <w:top w:type="dxa" w:w="100"/>
              <w:left w:type="dxa" w:w="130"/>
              <w:bottom w:type="dxa" w:w="100"/>
              <w:right w:type="dxa" w:w="80"/>
            </w:tcMar>
            <w:vAlign w:val="center"/>
          </w:tcPr>
          <w:p>
            <w:pPr>
              <w:spacing w:after="0" w:before="0"/>
              <w:jc w:val="left"/>
            </w:pPr>
            <w:r>
              <w:rPr>
                <w:rFonts w:ascii="Calibri" w:cs="Calibri" w:eastAsia="Calibri" w:hAnsi="Calibri"/>
                <w:b w:val="false"/>
                <w:bCs w:val="false"/>
                <w:i w:val="false"/>
                <w:iCs w:val="false"/>
                <w:color w:val="595959"/>
                <w:sz w:val="19"/>
                <w:szCs w:val="19"/>
              </w:rPr>
              <w:t xml:space="preserve">Soumission officielle du TFE à l'Institut Saint Laurent (ISL), Liège, Belgique. Présentation orale préparée.</w:t>
            </w:r>
          </w:p>
        </w:tc>
      </w:tr>
    </w:tbl>
    <w:p>
      <w:pPr>
        <w:spacing w:after="120" w:before="120"/>
      </w:pPr>
    </w:p>
    <w:p>
      <w:pPr>
        <w:pBdr>
          <w:top w:val="single" w:color="2E75B6" w:sz="4" w:space="4"/>
          <w:bottom w:val="single" w:color="2E75B6" w:sz="4" w:space="4"/>
        </w:pBdr>
        <w:spacing w:after="80" w:before="200"/>
      </w:pPr>
      <w:r>
        <w:rPr>
          <w:rFonts w:ascii="Calibri" w:cs="Calibri" w:eastAsia="Calibri" w:hAnsi="Calibri"/>
          <w:b/>
          <w:bCs/>
          <w:color w:val="1F3864"/>
          <w:sz w:val="21"/>
          <w:szCs w:val="21"/>
        </w:rPr>
        <w:t xml:space="preserve">Note : </w:t>
      </w:r>
      <w:r>
        <w:rPr>
          <w:rFonts w:ascii="Calibri" w:cs="Calibri" w:eastAsia="Calibri" w:hAnsi="Calibri"/>
          <w:i/>
          <w:iCs/>
          <w:color w:val="595959"/>
          <w:sz w:val="21"/>
          <w:szCs w:val="21"/>
        </w:rPr>
        <w:t xml:space="preserve">Ce planning constitue un cadre de référence pour l'exécution du TFE CINAF v2. Les délais sont des estimations basées sur la complexité du projet et le temps disponible. Des ajustements pourront être nécessaires en cours de développement. La priorité absolue est la soumission du rapport TFE à l'Institut Saint Laurent (ISL), Liège, avant la fin du mois de juin 2026.</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00"/>
    </w:pPr>
    <w:r>
      <w:rPr>
        <w:rFonts w:ascii="Calibri" w:cs="Calibri" w:eastAsia="Calibri" w:hAnsi="Calibri"/>
        <w:color w:val="595959"/>
        <w:sz w:val="16"/>
        <w:szCs w:val="16"/>
      </w:rPr>
      <w:t xml:space="preserve">Institut Saint Laurent (ISL) — Liège, Belgique  |  Bachelier en Informatique de Gestion</w:t>
    </w:r>
    <w:r>
      <w:rPr>
        <w:rFonts w:ascii="Calibri" w:cs="Calibri" w:eastAsia="Calibri" w:hAnsi="Calibri"/>
        <w:sz w:val="16"/>
        <w:szCs w:val="16"/>
      </w:rP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00"/>
    </w:pPr>
    <w:r>
      <w:rPr>
        <w:rFonts w:ascii="Calibri" w:cs="Calibri" w:eastAsia="Calibri" w:hAnsi="Calibri"/>
        <w:color w:val="595959"/>
        <w:sz w:val="16"/>
        <w:szCs w:val="16"/>
      </w:rPr>
      <w:t xml:space="preserve">Institut Saint Laurent (ISL) — Liège, Belgique  |  Bachelier en Informatique de Gestion</w:t>
    </w:r>
    <w:r>
      <w:rPr>
        <w:rFonts w:ascii="Calibri" w:cs="Calibri" w:eastAsia="Calibri" w:hAnsi="Calibri"/>
        <w:sz w:val="16"/>
        <w:szCs w:val="16"/>
      </w:rP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pPr>
    <w:r>
      <w:rPr>
        <w:rFonts w:ascii="Calibri" w:cs="Calibri" w:eastAsia="Calibri" w:hAnsi="Calibri"/>
        <w:b/>
        <w:bCs/>
        <w:color w:val="1F3864"/>
        <w:sz w:val="18"/>
        <w:szCs w:val="18"/>
      </w:rPr>
      <w:t xml:space="preserve">PLANNING D'EXÉCUTION TFE — CINAF v2</w:t>
    </w:r>
    <w:r>
      <w:rPr>
        <w:rFonts w:ascii="Calibri" w:cs="Calibri" w:eastAsia="Calibri" w:hAnsi="Calibri"/>
        <w:sz w:val="18"/>
        <w:szCs w:val="18"/>
      </w:rPr>
      <w:t xml:space="preserve">	</w:t>
    </w:r>
    <w:r>
      <w:rPr>
        <w:rFonts w:ascii="Calibri" w:cs="Calibri" w:eastAsia="Calibri" w:hAnsi="Calibri"/>
        <w:color w:val="595959"/>
        <w:sz w:val="16"/>
        <w:szCs w:val="16"/>
      </w:rPr>
      <w:t xml:space="preserve">Takoumbo Fabrice  |  ISL Liège  |  2025-2026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pPr>
    <w:r>
      <w:rPr>
        <w:rFonts w:ascii="Calibri" w:cs="Calibri" w:eastAsia="Calibri" w:hAnsi="Calibri"/>
        <w:b/>
        <w:bCs/>
        <w:color w:val="1F3864"/>
        <w:sz w:val="18"/>
        <w:szCs w:val="18"/>
      </w:rPr>
      <w:t xml:space="preserve">PLANNING D'EXÉCUTION TFE — CINAF v2</w:t>
    </w:r>
    <w:r>
      <w:rPr>
        <w:rFonts w:ascii="Calibri" w:cs="Calibri" w:eastAsia="Calibri" w:hAnsi="Calibri"/>
        <w:sz w:val="18"/>
        <w:szCs w:val="18"/>
      </w:rPr>
      <w:t xml:space="preserve">	</w:t>
    </w:r>
    <w:r>
      <w:rPr>
        <w:rFonts w:ascii="Calibri" w:cs="Calibri" w:eastAsia="Calibri" w:hAnsi="Calibri"/>
        <w:color w:val="595959"/>
        <w:sz w:val="16"/>
        <w:szCs w:val="16"/>
      </w:rPr>
      <w:t xml:space="preserve">Takoumbo Fabrice  |  ISL Liège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2026-04-01T19:06:30.833Z</dcterms:created>
  <dcterms:modified xsi:type="dcterms:W3CDTF">2026-04-01T19:06:30.842Z</dcterms:modified>
</cp:coreProperties>
</file>

<file path=docProps/custom.xml><?xml version="1.0" encoding="utf-8"?>
<Properties xmlns="http://schemas.openxmlformats.org/officeDocument/2006/custom-properties" xmlns:vt="http://schemas.openxmlformats.org/officeDocument/2006/docPropsVTypes"/>
</file>