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84833" w:rsidRPr="00684833" w:rsidRDefault="00684833" w:rsidP="00684833">
      <w:pPr>
        <w:jc w:val="center"/>
        <w:rPr>
          <w:rFonts w:ascii="Generica" w:hAnsi="Generica"/>
          <w:b/>
          <w:color w:val="B12036"/>
          <w:sz w:val="44"/>
        </w:rPr>
      </w:pPr>
      <w:r w:rsidRPr="00684833">
        <w:rPr>
          <w:rFonts w:ascii="Generica" w:hAnsi="Generica"/>
          <w:b/>
          <w:color w:val="B12036"/>
          <w:sz w:val="44"/>
        </w:rPr>
        <w:t>MODELE DE CONVOCATION A UNE  COMMISSION DISCIPLINAIRE</w:t>
      </w:r>
    </w:p>
    <w:p w:rsidR="00684833" w:rsidRPr="00684833" w:rsidRDefault="00684833" w:rsidP="00684833">
      <w:pPr>
        <w:jc w:val="center"/>
        <w:rPr>
          <w:rFonts w:ascii="Generica" w:hAnsi="Generica"/>
          <w:b/>
          <w:color w:val="B12036"/>
          <w:sz w:val="44"/>
        </w:rPr>
      </w:pPr>
      <w:r w:rsidRPr="00684833">
        <w:rPr>
          <w:rFonts w:ascii="Generica" w:hAnsi="Generica"/>
          <w:b/>
          <w:color w:val="B12036"/>
          <w:sz w:val="44"/>
        </w:rPr>
        <w:t>PAR RECOMMANDE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68483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CONVOCATION A UNE COMMISSION DISCIPLINAIRE PAR RECOMMANDE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684833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N°64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684833" w:rsidRPr="00684833" w:rsidRDefault="00684833" w:rsidP="00684833">
      <w:pPr>
        <w:tabs>
          <w:tab w:val="left" w:pos="6096"/>
          <w:tab w:val="left" w:pos="7513"/>
        </w:tabs>
        <w:jc w:val="center"/>
        <w:rPr>
          <w:rFonts w:ascii="TradeGothic" w:hAnsi="TradeGothic"/>
          <w:sz w:val="20"/>
        </w:rPr>
      </w:pPr>
      <w:r>
        <w:t xml:space="preserve">                                                                                      </w:t>
      </w:r>
      <w:r w:rsidRPr="00684833">
        <w:rPr>
          <w:rFonts w:ascii="TradeGothic" w:hAnsi="TradeGothic"/>
          <w:sz w:val="20"/>
        </w:rPr>
        <w:t xml:space="preserve">Nouméa, le </w:t>
      </w:r>
      <w:r w:rsidRPr="00684833">
        <w:rPr>
          <w:rFonts w:ascii="TradeGothic" w:hAnsi="TradeGothic"/>
          <w:sz w:val="20"/>
        </w:rPr>
        <w:fldChar w:fldCharType="begin"/>
      </w:r>
      <w:r w:rsidRPr="00684833">
        <w:rPr>
          <w:rFonts w:ascii="TradeGothic" w:hAnsi="TradeGothic"/>
          <w:sz w:val="20"/>
        </w:rPr>
        <w:instrText xml:space="preserve"> TIME \@ "d MMMM yyyy" </w:instrText>
      </w:r>
      <w:r w:rsidRPr="00684833">
        <w:rPr>
          <w:rFonts w:ascii="TradeGothic" w:hAnsi="TradeGothic"/>
          <w:sz w:val="20"/>
        </w:rPr>
        <w:fldChar w:fldCharType="separate"/>
      </w:r>
      <w:r w:rsidRPr="00684833">
        <w:rPr>
          <w:rFonts w:ascii="TradeGothic" w:hAnsi="TradeGothic"/>
          <w:noProof/>
          <w:sz w:val="20"/>
        </w:rPr>
        <w:t>26 avril 2019</w:t>
      </w:r>
      <w:r w:rsidRPr="00684833">
        <w:rPr>
          <w:rFonts w:ascii="TradeGothic" w:hAnsi="TradeGothic"/>
          <w:sz w:val="20"/>
        </w:rPr>
        <w:fldChar w:fldCharType="end"/>
      </w:r>
    </w:p>
    <w:p w:rsidR="00684833" w:rsidRPr="00684833" w:rsidRDefault="00684833" w:rsidP="00684833">
      <w:pPr>
        <w:jc w:val="right"/>
        <w:rPr>
          <w:rFonts w:ascii="TradeGothic" w:hAnsi="TradeGothic"/>
          <w:sz w:val="20"/>
        </w:rPr>
      </w:pPr>
    </w:p>
    <w:p w:rsidR="00684833" w:rsidRPr="00684833" w:rsidRDefault="00684833" w:rsidP="00684833">
      <w:pPr>
        <w:jc w:val="right"/>
        <w:rPr>
          <w:rFonts w:ascii="TradeGothic" w:hAnsi="TradeGothic"/>
          <w:sz w:val="20"/>
        </w:rPr>
      </w:pPr>
    </w:p>
    <w:p w:rsidR="00684833" w:rsidRPr="00684833" w:rsidRDefault="00684833" w:rsidP="00684833">
      <w:pPr>
        <w:tabs>
          <w:tab w:val="left" w:pos="6237"/>
          <w:tab w:val="left" w:pos="6663"/>
        </w:tabs>
        <w:jc w:val="center"/>
        <w:rPr>
          <w:rFonts w:ascii="TradeGothic" w:hAnsi="TradeGothic"/>
          <w:sz w:val="20"/>
        </w:rPr>
      </w:pPr>
      <w:r w:rsidRPr="00684833">
        <w:rPr>
          <w:rFonts w:ascii="TradeGothic" w:hAnsi="TradeGothic"/>
          <w:sz w:val="20"/>
        </w:rPr>
        <w:t xml:space="preserve">                                                                                        </w:t>
      </w:r>
      <w:r w:rsidRPr="00684833">
        <w:rPr>
          <w:rFonts w:ascii="TradeGothic" w:hAnsi="TradeGothic"/>
          <w:sz w:val="20"/>
        </w:rPr>
        <w:t>Le Directeur du GIEP-NC</w:t>
      </w:r>
    </w:p>
    <w:p w:rsidR="00684833" w:rsidRPr="00684833" w:rsidRDefault="00684833" w:rsidP="00684833">
      <w:pPr>
        <w:jc w:val="right"/>
        <w:rPr>
          <w:rFonts w:ascii="TradeGothic" w:hAnsi="TradeGothic"/>
          <w:sz w:val="20"/>
        </w:rPr>
      </w:pPr>
    </w:p>
    <w:p w:rsidR="00684833" w:rsidRPr="00684833" w:rsidRDefault="00684833" w:rsidP="00684833">
      <w:pPr>
        <w:ind w:right="-221"/>
        <w:rPr>
          <w:rFonts w:ascii="TradeGothic" w:hAnsi="TradeGothic"/>
          <w:sz w:val="20"/>
        </w:rPr>
      </w:pPr>
      <w:r w:rsidRPr="00684833">
        <w:rPr>
          <w:rFonts w:ascii="TradeGothic" w:hAnsi="TradeGothic"/>
          <w:sz w:val="20"/>
        </w:rPr>
        <w:t xml:space="preserve">                                                                                                              </w:t>
      </w:r>
    </w:p>
    <w:p w:rsidR="00684833" w:rsidRPr="00684833" w:rsidRDefault="00684833" w:rsidP="00684833">
      <w:pPr>
        <w:ind w:right="-221"/>
        <w:rPr>
          <w:rFonts w:ascii="TradeGothic" w:hAnsi="TradeGothic"/>
          <w:sz w:val="20"/>
        </w:rPr>
      </w:pPr>
    </w:p>
    <w:p w:rsidR="00684833" w:rsidRPr="00684833" w:rsidRDefault="00684833" w:rsidP="00684833">
      <w:pPr>
        <w:ind w:right="-221"/>
        <w:rPr>
          <w:rFonts w:ascii="TradeGothic" w:hAnsi="TradeGothic"/>
          <w:sz w:val="20"/>
        </w:rPr>
      </w:pPr>
      <w:r w:rsidRPr="00684833">
        <w:rPr>
          <w:rFonts w:ascii="TradeGothic" w:hAnsi="TradeGothic"/>
          <w:sz w:val="20"/>
        </w:rPr>
        <w:t xml:space="preserve">                                                                                                               </w:t>
      </w:r>
      <w:r w:rsidRPr="00684833">
        <w:rPr>
          <w:rFonts w:ascii="TradeGothic" w:hAnsi="TradeGothic"/>
          <w:sz w:val="20"/>
        </w:rPr>
        <w:t>A</w:t>
      </w:r>
    </w:p>
    <w:p w:rsidR="00684833" w:rsidRPr="00684833" w:rsidRDefault="00684833" w:rsidP="00684833">
      <w:pPr>
        <w:ind w:right="-221"/>
        <w:jc w:val="center"/>
        <w:rPr>
          <w:rFonts w:ascii="TradeGothic" w:hAnsi="TradeGothic"/>
          <w:sz w:val="20"/>
        </w:rPr>
      </w:pPr>
      <w:r w:rsidRPr="00684833">
        <w:rPr>
          <w:rFonts w:ascii="TradeGothic" w:hAnsi="TradeGothic"/>
          <w:sz w:val="20"/>
        </w:rPr>
        <w:t xml:space="preserve">                                                                        </w:t>
      </w:r>
      <w:r w:rsidRPr="00684833">
        <w:rPr>
          <w:rFonts w:ascii="TradeGothic" w:hAnsi="TradeGothic"/>
          <w:sz w:val="20"/>
        </w:rPr>
        <w:t>Nom du stagiaire</w:t>
      </w:r>
    </w:p>
    <w:p w:rsidR="00684833" w:rsidRPr="00684833" w:rsidRDefault="00684833" w:rsidP="00684833">
      <w:pPr>
        <w:ind w:right="-221"/>
        <w:jc w:val="center"/>
        <w:rPr>
          <w:rFonts w:ascii="TradeGothic" w:hAnsi="TradeGothic"/>
          <w:sz w:val="20"/>
        </w:rPr>
      </w:pPr>
      <w:r w:rsidRPr="00684833">
        <w:rPr>
          <w:rFonts w:ascii="TradeGothic" w:hAnsi="TradeGothic"/>
          <w:sz w:val="20"/>
        </w:rPr>
        <w:t xml:space="preserve">                                                              </w:t>
      </w:r>
      <w:r w:rsidRPr="00684833">
        <w:rPr>
          <w:rFonts w:ascii="TradeGothic" w:hAnsi="TradeGothic"/>
          <w:sz w:val="20"/>
        </w:rPr>
        <w:t>ADRESSE</w:t>
      </w:r>
    </w:p>
    <w:p w:rsidR="00684833" w:rsidRDefault="00684833" w:rsidP="00684833">
      <w:pPr>
        <w:ind w:right="-221"/>
        <w:jc w:val="center"/>
      </w:pPr>
    </w:p>
    <w:p w:rsidR="00684833" w:rsidRDefault="00684833" w:rsidP="00684833">
      <w:pPr>
        <w:ind w:right="-221"/>
        <w:jc w:val="center"/>
      </w:pPr>
    </w:p>
    <w:p w:rsidR="00684833" w:rsidRDefault="00684833" w:rsidP="00684833">
      <w:pPr>
        <w:ind w:right="-221"/>
      </w:pPr>
    </w:p>
    <w:p w:rsidR="00684833" w:rsidRDefault="00684833" w:rsidP="00684833">
      <w:pPr>
        <w:ind w:right="-221"/>
      </w:pPr>
    </w:p>
    <w:p w:rsidR="00684833" w:rsidRDefault="00684833" w:rsidP="00684833">
      <w:pPr>
        <w:ind w:right="-221"/>
      </w:pPr>
      <w:bookmarkStart w:id="0" w:name="_GoBack"/>
      <w:bookmarkEnd w:id="0"/>
    </w:p>
    <w:sdt>
      <w:sdtPr>
        <w:id w:val="-1642496526"/>
        <w:docPartObj>
          <w:docPartGallery w:val="Cover Pages"/>
          <w:docPartUnique/>
        </w:docPartObj>
      </w:sdtPr>
      <w:sdtContent>
        <w:p w:rsidR="00684833" w:rsidRPr="00684833" w:rsidRDefault="00684833" w:rsidP="00684833">
          <w:pPr>
            <w:ind w:right="-1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b/>
              <w:sz w:val="20"/>
            </w:rPr>
            <w:t>Objet :</w:t>
          </w:r>
          <w:r w:rsidRPr="00684833">
            <w:rPr>
              <w:rFonts w:ascii="TradeGothic" w:hAnsi="TradeGothic"/>
              <w:sz w:val="20"/>
            </w:rPr>
            <w:t xml:space="preserve"> Convocation commission disciplinaire.</w:t>
          </w:r>
        </w:p>
        <w:p w:rsidR="00684833" w:rsidRPr="00684833" w:rsidRDefault="00684833" w:rsidP="00684833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</w:p>
        <w:p w:rsidR="00684833" w:rsidRPr="00684833" w:rsidRDefault="00684833" w:rsidP="00684833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>Madame, Monsieur,</w:t>
          </w:r>
        </w:p>
        <w:p w:rsidR="00684833" w:rsidRPr="00684833" w:rsidRDefault="00684833" w:rsidP="00684833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684833" w:rsidRPr="00684833" w:rsidRDefault="00684833" w:rsidP="00684833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 xml:space="preserve">Totalisant à ce jour X jours d’absences injustifiées en formation, cette absence ne vous permet pas de suivre sérieusement votre parcours au sein du SPOT. </w:t>
          </w:r>
        </w:p>
        <w:p w:rsidR="00684833" w:rsidRPr="00684833" w:rsidRDefault="00684833" w:rsidP="00684833">
          <w:pPr>
            <w:ind w:firstLine="708"/>
            <w:jc w:val="both"/>
            <w:rPr>
              <w:rFonts w:ascii="TradeGothic" w:hAnsi="TradeGothic"/>
              <w:sz w:val="20"/>
            </w:rPr>
          </w:pPr>
        </w:p>
        <w:p w:rsidR="00684833" w:rsidRPr="00684833" w:rsidRDefault="00684833" w:rsidP="00684833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 xml:space="preserve">Par conséquent, nous nous convoquons à une commission disciplinaire </w:t>
          </w:r>
          <w:proofErr w:type="gramStart"/>
          <w:r w:rsidRPr="00684833">
            <w:rPr>
              <w:rFonts w:ascii="TradeGothic" w:hAnsi="TradeGothic"/>
              <w:sz w:val="20"/>
            </w:rPr>
            <w:t>le</w:t>
          </w:r>
          <w:proofErr w:type="gramEnd"/>
          <w:r w:rsidRPr="00684833">
            <w:rPr>
              <w:rFonts w:ascii="TradeGothic" w:hAnsi="TradeGothic"/>
              <w:sz w:val="20"/>
            </w:rPr>
            <w:t xml:space="preserve"> </w:t>
          </w:r>
          <w:r w:rsidRPr="00684833">
            <w:rPr>
              <w:rFonts w:ascii="TradeGothic" w:hAnsi="TradeGothic"/>
              <w:b/>
              <w:sz w:val="20"/>
            </w:rPr>
            <w:t>date à X heures</w:t>
          </w:r>
          <w:r w:rsidRPr="00684833">
            <w:rPr>
              <w:rFonts w:ascii="TradeGothic" w:hAnsi="TradeGothic"/>
              <w:sz w:val="20"/>
            </w:rPr>
            <w:t xml:space="preserve"> au GIEP-NC de Nouville. Vous pouvez être assisté(e) par une personne de votre choix lors de cet entretien.</w:t>
          </w:r>
        </w:p>
        <w:p w:rsidR="00684833" w:rsidRPr="00684833" w:rsidRDefault="00684833" w:rsidP="00684833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 xml:space="preserve">En cas de non présentation à cette commission, nous procéderons à votre exclusion de la formation « SPOT » du GIEP-NC de Nouville, pour absences injustifiées. </w:t>
          </w:r>
        </w:p>
        <w:p w:rsidR="00684833" w:rsidRPr="00684833" w:rsidRDefault="00684833" w:rsidP="00684833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>Je vous prie d’agréer, Madame, Monsieur, l’expression de ma parfaite considération.</w:t>
          </w:r>
        </w:p>
        <w:p w:rsidR="00684833" w:rsidRPr="00684833" w:rsidRDefault="00684833" w:rsidP="00684833">
          <w:pPr>
            <w:widowControl w:val="0"/>
            <w:autoSpaceDE w:val="0"/>
            <w:autoSpaceDN w:val="0"/>
            <w:adjustRightInd w:val="0"/>
            <w:ind w:right="-1"/>
            <w:jc w:val="both"/>
            <w:rPr>
              <w:rFonts w:ascii="TradeGothic" w:hAnsi="TradeGothic"/>
              <w:sz w:val="20"/>
            </w:rPr>
          </w:pPr>
        </w:p>
        <w:p w:rsidR="00684833" w:rsidRPr="00684833" w:rsidRDefault="00684833" w:rsidP="00684833">
          <w:pPr>
            <w:ind w:left="5387" w:right="283"/>
            <w:jc w:val="center"/>
            <w:rPr>
              <w:rFonts w:ascii="TradeGothic" w:hAnsi="TradeGothic"/>
              <w:sz w:val="20"/>
            </w:rPr>
          </w:pPr>
          <w:r w:rsidRPr="00684833">
            <w:rPr>
              <w:rFonts w:ascii="TradeGothic" w:hAnsi="TradeGothic"/>
              <w:sz w:val="20"/>
            </w:rPr>
            <w:t>Le directeur.</w:t>
          </w:r>
        </w:p>
        <w:p w:rsidR="00684833" w:rsidRDefault="00684833" w:rsidP="00684833">
          <w:pPr>
            <w:ind w:left="5387" w:right="283"/>
            <w:jc w:val="center"/>
          </w:pPr>
        </w:p>
      </w:sdtContent>
    </w:sdt>
    <w:p w:rsidR="00684833" w:rsidRPr="00CC2000" w:rsidRDefault="00684833" w:rsidP="00684833">
      <w:pPr>
        <w:ind w:right="-221"/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684833" w:rsidRDefault="00E508AE" w:rsidP="00E508AE">
      <w:pPr>
        <w:rPr>
          <w:rFonts w:ascii="TradeGothic" w:hAnsi="TradeGothic"/>
          <w:sz w:val="20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7ED" w:rsidRDefault="006317ED">
      <w:r>
        <w:separator/>
      </w:r>
    </w:p>
  </w:endnote>
  <w:endnote w:type="continuationSeparator" w:id="0">
    <w:p w:rsidR="006317ED" w:rsidRDefault="0063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19" name="Image 19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7ED" w:rsidRDefault="006317ED">
      <w:r>
        <w:separator/>
      </w:r>
    </w:p>
  </w:footnote>
  <w:footnote w:type="continuationSeparator" w:id="0">
    <w:p w:rsidR="006317ED" w:rsidRDefault="00631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6317E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6317E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18" name="Image 18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6317E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317ED"/>
    <w:rsid w:val="00684833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6848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1902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2019-04-26T05:33:00Z</dcterms:created>
  <dcterms:modified xsi:type="dcterms:W3CDTF">2019-04-26T05:33:00Z</dcterms:modified>
</cp:coreProperties>
</file>