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BB3AA0" w:rsidRDefault="00BB3AA0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MODELE DE FICHE AUTO-CONTRÔLE </w:t>
      </w:r>
    </w:p>
    <w:p w:rsidR="00651D11" w:rsidRPr="00651D11" w:rsidRDefault="00DD6B1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 DE SESSION D’EXAMEN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DD6B1A">
              <w:rPr>
                <w:rFonts w:ascii="Arial Narrow" w:hAnsi="Arial Narrow" w:cs="Arial"/>
                <w:b/>
                <w:sz w:val="14"/>
                <w:szCs w:val="16"/>
              </w:rPr>
              <w:t>D’UNE SESSION D’EXAMEN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002002">
              <w:rPr>
                <w:rFonts w:cs="Arial"/>
                <w:color w:val="C00000"/>
                <w:sz w:val="14"/>
                <w:szCs w:val="16"/>
              </w:rPr>
              <w:t>23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BB3AA0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FICHE AUTO-CONTRÔLE </w:t>
            </w:r>
            <w:r w:rsidR="0000200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SESSION D’EXAMEN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BB3AA0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N°84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BB3AA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BB3AA0" w:rsidRPr="00BB3AA0" w:rsidRDefault="00BB3AA0" w:rsidP="00BB3AA0">
      <w:pPr>
        <w:spacing w:line="265" w:lineRule="auto"/>
        <w:ind w:left="-574" w:hanging="10"/>
        <w:rPr>
          <w:rFonts w:ascii="TradeGothic" w:hAnsi="TradeGothic"/>
          <w:sz w:val="20"/>
        </w:rPr>
      </w:pPr>
      <w:r w:rsidRPr="00BB3AA0">
        <w:rPr>
          <w:rFonts w:ascii="TradeGothic" w:eastAsia="Verdana" w:hAnsi="TradeGothic"/>
          <w:sz w:val="20"/>
        </w:rPr>
        <w:lastRenderedPageBreak/>
        <w:t>Titre professionnel préparé :</w:t>
      </w:r>
    </w:p>
    <w:p w:rsidR="00BB3AA0" w:rsidRPr="00BB3AA0" w:rsidRDefault="00BB3AA0" w:rsidP="00BB3AA0">
      <w:pPr>
        <w:spacing w:line="265" w:lineRule="auto"/>
        <w:ind w:left="-574" w:hanging="10"/>
        <w:rPr>
          <w:rFonts w:ascii="TradeGothic" w:hAnsi="TradeGothic"/>
          <w:sz w:val="20"/>
        </w:rPr>
      </w:pPr>
      <w:r w:rsidRPr="00BB3AA0">
        <w:rPr>
          <w:rFonts w:ascii="TradeGothic" w:eastAsia="Verdana" w:hAnsi="TradeGothic"/>
          <w:sz w:val="20"/>
        </w:rPr>
        <w:t>Centre agréé :</w:t>
      </w:r>
    </w:p>
    <w:p w:rsidR="00BB3AA0" w:rsidRPr="00BB3AA0" w:rsidRDefault="00BB3AA0" w:rsidP="00BB3AA0">
      <w:pPr>
        <w:spacing w:line="265" w:lineRule="auto"/>
        <w:ind w:left="-574" w:hanging="10"/>
        <w:rPr>
          <w:rFonts w:ascii="TradeGothic" w:hAnsi="TradeGothic"/>
          <w:sz w:val="20"/>
        </w:rPr>
      </w:pPr>
      <w:r w:rsidRPr="00BB3AA0">
        <w:rPr>
          <w:rFonts w:ascii="TradeGothic" w:eastAsia="Verdana" w:hAnsi="TradeGothic"/>
          <w:sz w:val="20"/>
        </w:rPr>
        <w:t>Dates de la session :</w:t>
      </w:r>
    </w:p>
    <w:p w:rsidR="00BB3AA0" w:rsidRPr="00BB3AA0" w:rsidRDefault="00BB3AA0" w:rsidP="00BB3AA0">
      <w:pPr>
        <w:spacing w:line="265" w:lineRule="auto"/>
        <w:ind w:left="-574" w:hanging="10"/>
        <w:rPr>
          <w:rFonts w:ascii="TradeGothic" w:hAnsi="TradeGothic"/>
          <w:sz w:val="20"/>
        </w:rPr>
      </w:pPr>
      <w:r w:rsidRPr="00BB3AA0">
        <w:rPr>
          <w:rFonts w:ascii="TradeGothic" w:eastAsia="Verdana" w:hAnsi="TradeGothic"/>
          <w:sz w:val="20"/>
        </w:rPr>
        <w:t>Responsable de la session :</w:t>
      </w:r>
    </w:p>
    <w:p w:rsidR="00BB3AA0" w:rsidRPr="00BB3AA0" w:rsidRDefault="00BB3AA0" w:rsidP="00BB3AA0">
      <w:pPr>
        <w:ind w:right="3124"/>
        <w:jc w:val="right"/>
        <w:rPr>
          <w:rFonts w:ascii="Generica" w:hAnsi="Generica"/>
          <w:color w:val="2E4F9B"/>
        </w:rPr>
      </w:pPr>
      <w:r w:rsidRPr="00BB3AA0">
        <w:rPr>
          <w:rFonts w:ascii="Generica" w:eastAsia="Verdana" w:hAnsi="Generica"/>
          <w:b/>
          <w:color w:val="2E4F9B"/>
          <w:u w:val="single" w:color="000000"/>
        </w:rPr>
        <w:t>FICHE AUTO CONTRÔLE du RSE</w:t>
      </w:r>
    </w:p>
    <w:p w:rsidR="00BB3AA0" w:rsidRPr="00BB3AA0" w:rsidRDefault="00BB3AA0" w:rsidP="00BB3AA0">
      <w:pPr>
        <w:ind w:left="-72" w:hanging="10"/>
        <w:rPr>
          <w:rFonts w:ascii="Generica" w:hAnsi="Generica"/>
          <w:color w:val="2E4F9B"/>
        </w:rPr>
      </w:pPr>
      <w:r w:rsidRPr="00BB3AA0">
        <w:rPr>
          <w:rFonts w:ascii="Generica" w:eastAsia="Verdana" w:hAnsi="Generica"/>
          <w:b/>
          <w:color w:val="2E4F9B"/>
        </w:rPr>
        <w:t>AVANT LA SESSION</w:t>
      </w:r>
    </w:p>
    <w:tbl>
      <w:tblPr>
        <w:tblStyle w:val="TableauGrille1Clair-Accentuation3"/>
        <w:tblW w:w="10202" w:type="dxa"/>
        <w:tblBorders>
          <w:top w:val="single" w:sz="2" w:space="0" w:color="00B050"/>
          <w:left w:val="single" w:sz="2" w:space="0" w:color="00B050"/>
          <w:bottom w:val="single" w:sz="2" w:space="0" w:color="00B050"/>
          <w:right w:val="single" w:sz="2" w:space="0" w:color="00B050"/>
          <w:insideH w:val="single" w:sz="2" w:space="0" w:color="00B050"/>
          <w:insideV w:val="single" w:sz="2" w:space="0" w:color="00B050"/>
        </w:tblBorders>
        <w:tblLook w:val="04A0" w:firstRow="1" w:lastRow="0" w:firstColumn="1" w:lastColumn="0" w:noHBand="0" w:noVBand="1"/>
      </w:tblPr>
      <w:tblGrid>
        <w:gridCol w:w="749"/>
        <w:gridCol w:w="4803"/>
        <w:gridCol w:w="2301"/>
        <w:gridCol w:w="1047"/>
        <w:gridCol w:w="1302"/>
      </w:tblGrid>
      <w:tr w:rsidR="00BB3AA0" w:rsidRPr="00BB3AA0" w:rsidTr="00BB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both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Agent 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right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Tâches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right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Délai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ind w:righ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Date </w:t>
            </w:r>
          </w:p>
        </w:tc>
        <w:tc>
          <w:tcPr>
            <w:tcW w:w="1302" w:type="dxa"/>
          </w:tcPr>
          <w:p w:rsidR="00BB3AA0" w:rsidRPr="00BB3AA0" w:rsidRDefault="00BB3AA0" w:rsidP="00715C81">
            <w:pPr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Observation</w:t>
            </w:r>
          </w:p>
        </w:tc>
      </w:tr>
      <w:tr w:rsidR="00BB3AA0" w:rsidRPr="00BB3AA0" w:rsidTr="00BB3AA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DACF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Identification d'un responsable de SE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righ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Demande d'agrément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Vérifier la validité de l’agrément (date, site, solde effectif)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/>
                <w:sz w:val="20"/>
                <w:szCs w:val="20"/>
              </w:rPr>
              <w:t>Form</w:t>
            </w:r>
            <w:proofErr w:type="spellEnd"/>
            <w:r w:rsidRPr="00BB3AA0">
              <w:rPr>
                <w:rFonts w:ascii="TradeGothic" w:hAnsi="TradeGothic"/>
                <w:sz w:val="20"/>
                <w:szCs w:val="20"/>
              </w:rPr>
              <w:t>.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Affichage du règlement général des SE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Démarrage de la formation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Diffusion et explicitation des supports de certification (REAC/RC/ECF/DP/ règlement SE)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righ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Dès l'entrée en formation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Envoi de la Demande d'Organisation de Session d'Examen avec l'identification du responsable du centre organisateur + une copie de la décision d'agrément à la DFPC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lef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color w:val="FF0000"/>
                <w:sz w:val="20"/>
                <w:szCs w:val="20"/>
              </w:rPr>
              <w:t xml:space="preserve">Au plus tard 4 mois av. la SE 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Vérifier le retour de l'accusé réception de la DOSE signée par la DFPC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Réception du DTE organisateur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left="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Environ 6 sem. avant la SE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Vérifier la cohérence entre RC et DTE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Analyse du DTE, du plateau technique et des moyens humains et matériels à mobiliser pour la SE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Contrôle de l'éligibilité des candidats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Saisie dans </w:t>
            </w:r>
            <w:proofErr w:type="spellStart"/>
            <w:r w:rsidRPr="00BB3AA0">
              <w:rPr>
                <w:rFonts w:ascii="TradeGothic" w:eastAsia="Verdana" w:hAnsi="TradeGothic"/>
                <w:sz w:val="20"/>
                <w:szCs w:val="20"/>
              </w:rPr>
              <w:t>Valce</w:t>
            </w:r>
            <w:proofErr w:type="spellEnd"/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 des candidats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color w:val="FF0000"/>
                <w:sz w:val="20"/>
                <w:szCs w:val="20"/>
              </w:rPr>
              <w:t>1 mois après le démarrage formation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S'assurer de la conformité des DP au regard du RC (annexes notamment ou demandes spécifiques)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Identifier des jurés et s'assurer de l'absence de lien avec le candidat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right="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Dès réception du DTE Organisateur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Envoyer les CV des professionnels à la DFPC en vue de leur habilitation avec RIB et Pièce d'identité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/>
                <w:sz w:val="20"/>
                <w:szCs w:val="20"/>
              </w:rPr>
              <w:t>Form</w:t>
            </w:r>
            <w:proofErr w:type="spellEnd"/>
            <w:r w:rsidRPr="00BB3AA0">
              <w:rPr>
                <w:rFonts w:ascii="TradeGothic" w:hAnsi="TradeGothic"/>
                <w:sz w:val="20"/>
                <w:szCs w:val="20"/>
              </w:rPr>
              <w:t>.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S'assurer de la disponibilité de la DFPC puis proposer une date pour la réunion d'habilitation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/>
                <w:sz w:val="20"/>
                <w:szCs w:val="20"/>
              </w:rPr>
              <w:t>Form</w:t>
            </w:r>
            <w:proofErr w:type="spellEnd"/>
            <w:r w:rsidRPr="00BB3AA0">
              <w:rPr>
                <w:rFonts w:ascii="TradeGothic" w:hAnsi="TradeGothic"/>
                <w:sz w:val="20"/>
                <w:szCs w:val="20"/>
              </w:rPr>
              <w:t>.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+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 w:right="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Établir le calendrier prévisionnel de déroulement de la SE et prévoir la réunion préparatoire avec la DFPC et le jury (réunion de cadrage)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Inviter le jury et la DFPC à la réunion de cadrage de la SE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/>
                <w:sz w:val="20"/>
                <w:szCs w:val="20"/>
              </w:rPr>
              <w:t>Form</w:t>
            </w:r>
            <w:proofErr w:type="spellEnd"/>
            <w:r w:rsidRPr="00BB3AA0">
              <w:rPr>
                <w:rFonts w:ascii="TradeGothic" w:hAnsi="TradeGothic"/>
                <w:sz w:val="20"/>
                <w:szCs w:val="20"/>
              </w:rPr>
              <w:t>.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Préparer le plateau technique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Convocation des candidats  </w:t>
            </w:r>
          </w:p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-pour la Session de Validation concernant un titre professionnel   </w:t>
            </w:r>
          </w:p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-pour la Session de Validation d'un Certificat de Compétence Professionnel :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spacing w:after="182"/>
              <w:ind w:right="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4 semaines </w:t>
            </w:r>
          </w:p>
          <w:p w:rsidR="00BB3AA0" w:rsidRPr="00BB3AA0" w:rsidRDefault="00BB3AA0" w:rsidP="00715C81">
            <w:pPr>
              <w:ind w:righ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 2 semaines avant la SE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RSE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 w:right="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Lors de la réunion : vérifier la cohérence entre le DTE et le RC et valider le PT, les aménagements éventuels et le calendrier, contrôler l'absence de lien entre les candidats et jurés.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lastRenderedPageBreak/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 xml:space="preserve">Convoquer le jury et surveillant (si besoin) 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ind w:lef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15 jours minimum avant la SE</w:t>
            </w: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/>
                <w:sz w:val="20"/>
                <w:szCs w:val="20"/>
              </w:rPr>
              <w:t>Form</w:t>
            </w:r>
            <w:proofErr w:type="spellEnd"/>
            <w:r w:rsidRPr="00BB3AA0">
              <w:rPr>
                <w:rFonts w:ascii="TradeGothic" w:hAnsi="TradeGothic"/>
                <w:sz w:val="20"/>
                <w:szCs w:val="20"/>
              </w:rPr>
              <w:t>.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Constituer le dossier candidat conformément au RC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Établir le PV de la session et pré remplir la fiche de synthèse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/>
                <w:b w:val="0"/>
                <w:sz w:val="20"/>
                <w:szCs w:val="20"/>
              </w:rPr>
            </w:pPr>
            <w:r w:rsidRPr="00BB3AA0">
              <w:rPr>
                <w:rFonts w:ascii="TradeGothic" w:hAnsi="TradeGothic"/>
                <w:sz w:val="20"/>
                <w:szCs w:val="20"/>
              </w:rPr>
              <w:t>AF.</w:t>
            </w:r>
          </w:p>
        </w:tc>
        <w:tc>
          <w:tcPr>
            <w:tcW w:w="4803" w:type="dxa"/>
          </w:tcPr>
          <w:p w:rsidR="00BB3AA0" w:rsidRPr="00BB3AA0" w:rsidRDefault="00BB3AA0" w:rsidP="00715C81">
            <w:pPr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  <w:r w:rsidRPr="00BB3AA0">
              <w:rPr>
                <w:rFonts w:ascii="TradeGothic" w:eastAsia="Verdana" w:hAnsi="TradeGothic"/>
                <w:sz w:val="20"/>
                <w:szCs w:val="20"/>
              </w:rPr>
              <w:t>Prévoir la logistique jury (déplacement, Hébergement, Restauration, indemnités)</w:t>
            </w:r>
          </w:p>
        </w:tc>
        <w:tc>
          <w:tcPr>
            <w:tcW w:w="2301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47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02" w:type="dxa"/>
          </w:tcPr>
          <w:p w:rsidR="00BB3AA0" w:rsidRPr="00BB3AA0" w:rsidRDefault="00BB3AA0" w:rsidP="0071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E508AE" w:rsidRPr="00BB3AA0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BB3AA0" w:rsidRDefault="00E508AE" w:rsidP="00E508AE">
      <w:pPr>
        <w:pStyle w:val="Pieddepage"/>
        <w:rPr>
          <w:rFonts w:ascii="TradeGothic" w:hAnsi="TradeGothic"/>
          <w:sz w:val="20"/>
        </w:rPr>
      </w:pPr>
    </w:p>
    <w:p w:rsidR="00BB3AA0" w:rsidRPr="00BB3AA0" w:rsidRDefault="00BB3AA0" w:rsidP="00BB3AA0">
      <w:pPr>
        <w:ind w:left="-72" w:hanging="10"/>
        <w:rPr>
          <w:rFonts w:ascii="Generica" w:hAnsi="Generica"/>
          <w:color w:val="2E4F9B"/>
        </w:rPr>
      </w:pPr>
      <w:r w:rsidRPr="00BB3AA0">
        <w:rPr>
          <w:rFonts w:ascii="Generica" w:eastAsia="Verdana" w:hAnsi="Generica"/>
          <w:b/>
          <w:color w:val="2E4F9B"/>
        </w:rPr>
        <w:t>Pendant la session</w:t>
      </w:r>
    </w:p>
    <w:tbl>
      <w:tblPr>
        <w:tblStyle w:val="TableGrid"/>
        <w:tblW w:w="10202" w:type="dxa"/>
        <w:jc w:val="center"/>
        <w:tblInd w:w="0" w:type="dxa"/>
        <w:tblBorders>
          <w:top w:val="single" w:sz="12" w:space="0" w:color="004C5C"/>
          <w:left w:val="single" w:sz="12" w:space="0" w:color="004C5C"/>
          <w:bottom w:val="single" w:sz="12" w:space="0" w:color="004C5C"/>
          <w:right w:val="single" w:sz="12" w:space="0" w:color="004C5C"/>
          <w:insideH w:val="single" w:sz="12" w:space="0" w:color="004C5C"/>
          <w:insideV w:val="single" w:sz="12" w:space="0" w:color="004C5C"/>
        </w:tblBorders>
        <w:tblCellMar>
          <w:top w:w="34" w:type="dxa"/>
          <w:left w:w="17" w:type="dxa"/>
        </w:tblCellMar>
        <w:tblLook w:val="04A0" w:firstRow="1" w:lastRow="0" w:firstColumn="1" w:lastColumn="0" w:noHBand="0" w:noVBand="1"/>
      </w:tblPr>
      <w:tblGrid>
        <w:gridCol w:w="644"/>
        <w:gridCol w:w="4873"/>
        <w:gridCol w:w="2323"/>
        <w:gridCol w:w="1061"/>
        <w:gridCol w:w="1301"/>
      </w:tblGrid>
      <w:tr w:rsidR="00BB3AA0" w:rsidRPr="00BB3AA0" w:rsidTr="00BB3AA0">
        <w:trPr>
          <w:trHeight w:val="188"/>
          <w:jc w:val="center"/>
        </w:trPr>
        <w:tc>
          <w:tcPr>
            <w:tcW w:w="644" w:type="dxa"/>
            <w:shd w:val="clear" w:color="auto" w:fill="004C5C"/>
          </w:tcPr>
          <w:p w:rsidR="00BB3AA0" w:rsidRPr="00BB3AA0" w:rsidRDefault="00BB3AA0" w:rsidP="00715C81">
            <w:pPr>
              <w:jc w:val="both"/>
              <w:rPr>
                <w:rFonts w:ascii="TradeGothic" w:hAnsi="TradeGothic" w:cs="Times New Roman"/>
                <w:b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>Ag</w:t>
            </w:r>
            <w:bookmarkStart w:id="0" w:name="_GoBack"/>
            <w:bookmarkEnd w:id="0"/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 xml:space="preserve">ent </w:t>
            </w:r>
          </w:p>
        </w:tc>
        <w:tc>
          <w:tcPr>
            <w:tcW w:w="4873" w:type="dxa"/>
            <w:shd w:val="clear" w:color="auto" w:fill="004C5C"/>
          </w:tcPr>
          <w:p w:rsidR="00BB3AA0" w:rsidRPr="00BB3AA0" w:rsidRDefault="00BB3AA0" w:rsidP="00715C81">
            <w:pPr>
              <w:ind w:right="8"/>
              <w:jc w:val="center"/>
              <w:rPr>
                <w:rFonts w:ascii="TradeGothic" w:hAnsi="TradeGothic" w:cs="Times New Roman"/>
                <w:b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>Tâches</w:t>
            </w:r>
          </w:p>
        </w:tc>
        <w:tc>
          <w:tcPr>
            <w:tcW w:w="2323" w:type="dxa"/>
            <w:shd w:val="clear" w:color="auto" w:fill="004C5C"/>
          </w:tcPr>
          <w:p w:rsidR="00BB3AA0" w:rsidRPr="00BB3AA0" w:rsidRDefault="00BB3AA0" w:rsidP="00715C81">
            <w:pPr>
              <w:ind w:right="13"/>
              <w:jc w:val="center"/>
              <w:rPr>
                <w:rFonts w:ascii="TradeGothic" w:hAnsi="TradeGothic" w:cs="Times New Roman"/>
                <w:b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>Délai</w:t>
            </w:r>
          </w:p>
        </w:tc>
        <w:tc>
          <w:tcPr>
            <w:tcW w:w="1061" w:type="dxa"/>
            <w:shd w:val="clear" w:color="auto" w:fill="004C5C"/>
          </w:tcPr>
          <w:p w:rsidR="00BB3AA0" w:rsidRPr="00BB3AA0" w:rsidRDefault="00BB3AA0" w:rsidP="00715C81">
            <w:pPr>
              <w:ind w:right="57"/>
              <w:jc w:val="center"/>
              <w:rPr>
                <w:rFonts w:ascii="TradeGothic" w:hAnsi="TradeGothic" w:cs="Times New Roman"/>
                <w:b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1301" w:type="dxa"/>
            <w:shd w:val="clear" w:color="auto" w:fill="004C5C"/>
          </w:tcPr>
          <w:p w:rsidR="00BB3AA0" w:rsidRPr="00BB3AA0" w:rsidRDefault="00BB3AA0" w:rsidP="00715C81">
            <w:pPr>
              <w:ind w:right="4"/>
              <w:jc w:val="center"/>
              <w:rPr>
                <w:rFonts w:ascii="TradeGothic" w:hAnsi="TradeGothic" w:cs="Times New Roman"/>
                <w:b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>Observation</w:t>
            </w: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Accueillir les membres du jury + surveillant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Combler une défaillance de jury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2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Rappel aux jurys des missions et points de vigilance de l'utilisation des documents d'évaluation et des dossiers candidats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859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spacing w:line="252" w:lineRule="auto"/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Accueillir les candidats et se présenter                                       Faire l’appel des candidats, vérifier leurs identités, constater les absences éventuelles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Présenter les jurys et le surveillant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751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Vérifier habilitation, attestation, EPI … selon certaines spécificités des titres conformément au RC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Tirer au sort les numéros d'ordre des candidats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Si pas fait lors de la réunion préparatoire sujet</w:t>
            </w: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Ouvrir les plis avec les jurys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Vérification par le jury que le contenu des plis correspond aux modalités d'évaluation prévues par le RC  (DTE candidat + jury)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Distribuer les sujets aux candidats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31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spacing w:line="252" w:lineRule="auto"/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Présenter le déroulement aux candidats + consignes particulières si besoin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Explicitation des critères d'évaluation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3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Vérifier et valider  avec le jury, le plateau technique et les matériels nécessaires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Vérification du poste de travail et des matières d'œuvre et matériel à disposition conformément au RC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8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 w:right="45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Distribuer aux jurys les DTE jury comprenant les grilles d'évaluation et/ou observation pour évaluer les candidats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2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Vérifier que les dossiers candidats soient complets et conformes (DP-EPCF ou autres spécificités particulières selon le RC)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Lancement de l'épreuve de synthèse et bien signifié aux candidats les horaires de début et de fin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2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lastRenderedPageBreak/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Contrôle contant pendant le déroulement des épreuves 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Passage régulier pour s'assurer du bon déroulement et se tenir à la disposition des membres du jury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919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spacing w:line="252" w:lineRule="auto"/>
              <w:ind w:left="13" w:right="2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S'assurer du respect des délais impartis aux différentes épreuves de synthèse conformément aux modalités décrites dans le RC.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Arrêter l'épreuve une fois le délai épuisé.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7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Faire procéder à l'évaluation de l'épreuve de synthèse par les membres du jury en s'assurant que le jury prenne une décision sur la recevabilité de celle-ci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938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spacing w:line="252" w:lineRule="auto"/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Préparation et rappel des objectifs et modalités des entretiens (DTE entretien jury)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S'assurer de la prise de connaissance du DP et des EPCF par le jury Remplir la Fiche de Synthèse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593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Faire un rappel aux candidats (DTE entretien candidats) sur le déroulement de l'entretien final.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25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Lancement des entretiens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Préparation et rappel sur les objectifs de la délibération 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Délibération  des membres du jury en dehors de toute autre présence.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94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Transcrire les résultats sur les PV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622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</w:tcPr>
          <w:p w:rsidR="00BB3AA0" w:rsidRPr="00BB3AA0" w:rsidRDefault="00BB3AA0" w:rsidP="00715C81">
            <w:pPr>
              <w:spacing w:line="252" w:lineRule="auto"/>
              <w:ind w:left="13" w:right="26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Faire signer les PV par le jury</w:t>
            </w:r>
          </w:p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Mettre cachet du Centre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541"/>
          <w:jc w:val="center"/>
        </w:trPr>
        <w:tc>
          <w:tcPr>
            <w:tcW w:w="644" w:type="dxa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3" w:type="dxa"/>
            <w:vAlign w:val="center"/>
          </w:tcPr>
          <w:p w:rsidR="00BB3AA0" w:rsidRPr="00BB3AA0" w:rsidRDefault="00BB3AA0" w:rsidP="00715C81">
            <w:pPr>
              <w:ind w:left="13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Récupération des DTE pour destruction </w:t>
            </w:r>
          </w:p>
        </w:tc>
        <w:tc>
          <w:tcPr>
            <w:tcW w:w="2323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BB3AA0" w:rsidRPr="00BB3AA0" w:rsidRDefault="00BB3AA0" w:rsidP="00BB3AA0">
      <w:pPr>
        <w:ind w:right="10460"/>
        <w:rPr>
          <w:rFonts w:ascii="TradeGothic" w:hAnsi="TradeGothic"/>
          <w:sz w:val="20"/>
          <w:szCs w:val="20"/>
        </w:rPr>
      </w:pPr>
    </w:p>
    <w:p w:rsidR="00BB3AA0" w:rsidRPr="00BB3AA0" w:rsidRDefault="00BB3AA0" w:rsidP="00BB3AA0">
      <w:pPr>
        <w:ind w:left="-1440" w:right="10460"/>
        <w:rPr>
          <w:rFonts w:ascii="TradeGothic" w:hAnsi="TradeGothic"/>
          <w:sz w:val="20"/>
          <w:szCs w:val="20"/>
        </w:rPr>
      </w:pPr>
    </w:p>
    <w:tbl>
      <w:tblPr>
        <w:tblStyle w:val="TableGrid"/>
        <w:tblW w:w="10202" w:type="dxa"/>
        <w:jc w:val="center"/>
        <w:tblInd w:w="0" w:type="dxa"/>
        <w:tblBorders>
          <w:top w:val="single" w:sz="12" w:space="0" w:color="0090BC"/>
          <w:left w:val="single" w:sz="12" w:space="0" w:color="0090BC"/>
          <w:bottom w:val="single" w:sz="12" w:space="0" w:color="0090BC"/>
          <w:right w:val="single" w:sz="12" w:space="0" w:color="0090BC"/>
          <w:insideH w:val="single" w:sz="6" w:space="0" w:color="0090BC"/>
          <w:insideV w:val="single" w:sz="6" w:space="0" w:color="0090BC"/>
        </w:tblBorders>
        <w:tblCellMar>
          <w:top w:w="23" w:type="dxa"/>
          <w:left w:w="30" w:type="dxa"/>
          <w:right w:w="28" w:type="dxa"/>
        </w:tblCellMar>
        <w:tblLook w:val="04A0" w:firstRow="1" w:lastRow="0" w:firstColumn="1" w:lastColumn="0" w:noHBand="0" w:noVBand="1"/>
      </w:tblPr>
      <w:tblGrid>
        <w:gridCol w:w="500"/>
        <w:gridCol w:w="227"/>
        <w:gridCol w:w="4876"/>
        <w:gridCol w:w="2412"/>
        <w:gridCol w:w="1094"/>
        <w:gridCol w:w="1093"/>
      </w:tblGrid>
      <w:tr w:rsidR="00BB3AA0" w:rsidRPr="00BB3AA0" w:rsidTr="00BB3AA0">
        <w:trPr>
          <w:trHeight w:val="385"/>
          <w:jc w:val="center"/>
        </w:trPr>
        <w:tc>
          <w:tcPr>
            <w:tcW w:w="500" w:type="dxa"/>
            <w:shd w:val="clear" w:color="auto" w:fill="0090BC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shd w:val="clear" w:color="auto" w:fill="0090BC"/>
            <w:vAlign w:val="center"/>
          </w:tcPr>
          <w:p w:rsidR="00BB3AA0" w:rsidRPr="00BB3AA0" w:rsidRDefault="00BB3AA0" w:rsidP="00715C81">
            <w:pPr>
              <w:ind w:left="2"/>
              <w:rPr>
                <w:rFonts w:ascii="TradeGothic" w:hAnsi="TradeGothic" w:cs="Times New Roman"/>
                <w:color w:val="FFFFFF" w:themeColor="background1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b/>
                <w:color w:val="FFFFFF" w:themeColor="background1"/>
                <w:sz w:val="20"/>
                <w:szCs w:val="20"/>
              </w:rPr>
              <w:t>Après la session</w:t>
            </w:r>
          </w:p>
        </w:tc>
        <w:tc>
          <w:tcPr>
            <w:tcW w:w="2412" w:type="dxa"/>
            <w:shd w:val="clear" w:color="auto" w:fill="0090BC"/>
          </w:tcPr>
          <w:p w:rsidR="00BB3AA0" w:rsidRPr="00BB3AA0" w:rsidRDefault="00BB3AA0" w:rsidP="00715C81">
            <w:pPr>
              <w:rPr>
                <w:rFonts w:ascii="TradeGothic" w:hAnsi="TradeGoth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0090BC"/>
          </w:tcPr>
          <w:p w:rsidR="00BB3AA0" w:rsidRPr="00BB3AA0" w:rsidRDefault="00BB3AA0" w:rsidP="00715C81">
            <w:pPr>
              <w:rPr>
                <w:rFonts w:ascii="TradeGothic" w:hAnsi="TradeGoth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0090BC"/>
          </w:tcPr>
          <w:p w:rsidR="00BB3AA0" w:rsidRPr="00BB3AA0" w:rsidRDefault="00BB3AA0" w:rsidP="00715C81">
            <w:pPr>
              <w:rPr>
                <w:rFonts w:ascii="TradeGothic" w:hAnsi="TradeGothic"/>
                <w:color w:val="FFFFFF" w:themeColor="background1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55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AF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Envoyer les PV originaux pour signature et validation par la DFPC 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74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 xml:space="preserve">AF 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S'assurer de la réception de la copie du PV revêtu du cachet de la DFPC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15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 xml:space="preserve">AF 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</w:tc>
        <w:tc>
          <w:tcPr>
            <w:tcW w:w="4876" w:type="dxa"/>
            <w:vAlign w:val="center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Affichage des résultats validés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571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?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4876" w:type="dxa"/>
            <w:vAlign w:val="center"/>
          </w:tcPr>
          <w:p w:rsidR="00BB3AA0" w:rsidRPr="00BB3AA0" w:rsidRDefault="00BB3AA0" w:rsidP="00715C81">
            <w:pPr>
              <w:jc w:val="both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Réception des Livrets de Certifications et remettre aux candidats sur présentation d'une pièce d'identité et émargement 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494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AF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tabs>
                <w:tab w:val="center" w:pos="362"/>
                <w:tab w:val="center" w:pos="1025"/>
                <w:tab w:val="center" w:pos="1752"/>
                <w:tab w:val="center" w:pos="2427"/>
                <w:tab w:val="center" w:pos="2996"/>
                <w:tab w:val="center" w:pos="3621"/>
                <w:tab w:val="center" w:pos="4283"/>
                <w:tab w:val="center" w:pos="4928"/>
              </w:tabs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sz w:val="20"/>
                <w:szCs w:val="20"/>
              </w:rPr>
              <w:tab/>
            </w: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Réception des parchemins et</w:t>
            </w: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ab/>
              <w:t xml:space="preserve">remettre aux </w:t>
            </w: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ab/>
              <w:t>candidats sur</w:t>
            </w:r>
            <w:r w:rsidRPr="00BB3AA0">
              <w:rPr>
                <w:rFonts w:ascii="TradeGothic" w:hAnsi="TradeGothic" w:cs="Times New Roman"/>
                <w:sz w:val="20"/>
                <w:szCs w:val="20"/>
              </w:rPr>
              <w:t xml:space="preserve"> </w:t>
            </w: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présentation d'une pièce d'identité et émargement 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55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AF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Archiver l’ensemble des documents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346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AF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Renvoyer à la DFPC les documents non transmis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ind w:right="4"/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 xml:space="preserve">3 mois après les avoir reçu </w:t>
            </w: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BB3AA0" w:rsidRPr="00BB3AA0" w:rsidTr="00BB3AA0">
        <w:trPr>
          <w:trHeight w:val="1878"/>
          <w:jc w:val="center"/>
        </w:trPr>
        <w:tc>
          <w:tcPr>
            <w:tcW w:w="727" w:type="dxa"/>
            <w:gridSpan w:val="2"/>
          </w:tcPr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proofErr w:type="spellStart"/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lastRenderedPageBreak/>
              <w:t>Form</w:t>
            </w:r>
            <w:proofErr w:type="spellEnd"/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.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 xml:space="preserve">+ 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RSE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+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AF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+</w:t>
            </w:r>
          </w:p>
          <w:p w:rsidR="00BB3AA0" w:rsidRPr="00BB3AA0" w:rsidRDefault="00BB3AA0" w:rsidP="00715C81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  <w:r w:rsidRPr="00BB3AA0">
              <w:rPr>
                <w:rFonts w:ascii="TradeGothic" w:hAnsi="TradeGothic" w:cs="Times New Roman"/>
                <w:b/>
                <w:sz w:val="20"/>
                <w:szCs w:val="20"/>
              </w:rPr>
              <w:t>SFD</w:t>
            </w:r>
          </w:p>
        </w:tc>
        <w:tc>
          <w:tcPr>
            <w:tcW w:w="4876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Suivi des candidats</w:t>
            </w:r>
          </w:p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  <w:u w:val="single" w:color="000000"/>
              </w:rPr>
              <w:t>si  TP validé</w:t>
            </w:r>
          </w:p>
          <w:p w:rsidR="00BB3AA0" w:rsidRPr="00BB3AA0" w:rsidRDefault="00BB3AA0" w:rsidP="00715C81">
            <w:pPr>
              <w:spacing w:after="115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Partenariat avec un conseiller en Insertion pour un an</w:t>
            </w:r>
          </w:p>
          <w:p w:rsidR="00BB3AA0" w:rsidRPr="00BB3AA0" w:rsidRDefault="00BB3AA0" w:rsidP="00715C81">
            <w:pPr>
              <w:spacing w:after="136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Enquête d'insertion planifiée</w:t>
            </w:r>
          </w:p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  <w:u w:val="single" w:color="000000"/>
              </w:rPr>
              <w:t>Si TP validé partiellement ou échec</w:t>
            </w:r>
          </w:p>
          <w:p w:rsidR="00BB3AA0" w:rsidRPr="00BB3AA0" w:rsidRDefault="00BB3AA0" w:rsidP="00715C81">
            <w:pPr>
              <w:jc w:val="both"/>
              <w:rPr>
                <w:rFonts w:ascii="TradeGothic" w:hAnsi="TradeGothic" w:cs="Times New Roman"/>
                <w:sz w:val="20"/>
                <w:szCs w:val="20"/>
              </w:rPr>
            </w:pP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au regard de la validité d'un an et des délais de présentation à une SE</w:t>
            </w:r>
            <w:r w:rsidRPr="00BB3AA0">
              <w:rPr>
                <w:rFonts w:ascii="TradeGothic" w:hAnsi="TradeGothic" w:cs="Times New Roman"/>
                <w:sz w:val="20"/>
                <w:szCs w:val="20"/>
              </w:rPr>
              <w:t xml:space="preserve"> </w:t>
            </w:r>
            <w:r w:rsidRPr="00BB3AA0">
              <w:rPr>
                <w:rFonts w:ascii="TradeGothic" w:eastAsia="Verdana" w:hAnsi="TradeGothic" w:cs="Times New Roman"/>
                <w:sz w:val="20"/>
                <w:szCs w:val="20"/>
              </w:rPr>
              <w:t>et des préconisations faites par les membres du jury</w:t>
            </w:r>
          </w:p>
        </w:tc>
        <w:tc>
          <w:tcPr>
            <w:tcW w:w="2412" w:type="dxa"/>
          </w:tcPr>
          <w:p w:rsidR="00BB3AA0" w:rsidRPr="00BB3AA0" w:rsidRDefault="00BB3AA0" w:rsidP="00715C81">
            <w:pPr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1094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093" w:type="dxa"/>
          </w:tcPr>
          <w:p w:rsidR="00BB3AA0" w:rsidRPr="00BB3AA0" w:rsidRDefault="00BB3AA0" w:rsidP="00715C81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BB3AA0" w:rsidRPr="00BB3AA0" w:rsidRDefault="00BB3AA0" w:rsidP="00BB3AA0">
      <w:pPr>
        <w:rPr>
          <w:rFonts w:ascii="TradeGothic" w:hAnsi="TradeGothic"/>
          <w:sz w:val="20"/>
          <w:szCs w:val="20"/>
        </w:rPr>
      </w:pPr>
    </w:p>
    <w:p w:rsidR="00BB3AA0" w:rsidRPr="00BB3AA0" w:rsidRDefault="00BB3AA0" w:rsidP="00BB3AA0">
      <w:pPr>
        <w:pStyle w:val="Paragraphedeliste"/>
        <w:numPr>
          <w:ilvl w:val="0"/>
          <w:numId w:val="4"/>
        </w:numPr>
        <w:spacing w:after="160" w:line="259" w:lineRule="auto"/>
        <w:rPr>
          <w:rFonts w:ascii="TradeGothic" w:hAnsi="TradeGothic"/>
          <w:sz w:val="20"/>
          <w:szCs w:val="20"/>
        </w:rPr>
      </w:pPr>
      <w:r w:rsidRPr="00BB3AA0">
        <w:rPr>
          <w:rFonts w:ascii="TradeGothic" w:hAnsi="TradeGothic"/>
          <w:sz w:val="20"/>
          <w:szCs w:val="20"/>
        </w:rPr>
        <w:t>AF = Assistante Formation</w:t>
      </w:r>
    </w:p>
    <w:p w:rsidR="00BB3AA0" w:rsidRPr="00BB3AA0" w:rsidRDefault="00BB3AA0" w:rsidP="00BB3AA0">
      <w:pPr>
        <w:pStyle w:val="Paragraphedeliste"/>
        <w:numPr>
          <w:ilvl w:val="0"/>
          <w:numId w:val="4"/>
        </w:numPr>
        <w:spacing w:after="160" w:line="259" w:lineRule="auto"/>
        <w:rPr>
          <w:rFonts w:ascii="TradeGothic" w:hAnsi="TradeGothic"/>
          <w:sz w:val="20"/>
          <w:szCs w:val="20"/>
        </w:rPr>
      </w:pPr>
      <w:proofErr w:type="spellStart"/>
      <w:r w:rsidRPr="00BB3AA0">
        <w:rPr>
          <w:rFonts w:ascii="TradeGothic" w:hAnsi="TradeGothic"/>
          <w:sz w:val="20"/>
          <w:szCs w:val="20"/>
        </w:rPr>
        <w:t>Form</w:t>
      </w:r>
      <w:proofErr w:type="spellEnd"/>
      <w:r w:rsidRPr="00BB3AA0">
        <w:rPr>
          <w:rFonts w:ascii="TradeGothic" w:hAnsi="TradeGothic"/>
          <w:sz w:val="20"/>
          <w:szCs w:val="20"/>
        </w:rPr>
        <w:t>. = Formateur</w:t>
      </w:r>
    </w:p>
    <w:p w:rsidR="00BB3AA0" w:rsidRPr="00BB3AA0" w:rsidRDefault="00BB3AA0" w:rsidP="00BB3AA0">
      <w:pPr>
        <w:pStyle w:val="Paragraphedeliste"/>
        <w:numPr>
          <w:ilvl w:val="0"/>
          <w:numId w:val="4"/>
        </w:numPr>
        <w:spacing w:after="160" w:line="259" w:lineRule="auto"/>
        <w:rPr>
          <w:rFonts w:ascii="TradeGothic" w:hAnsi="TradeGothic"/>
          <w:sz w:val="20"/>
          <w:szCs w:val="20"/>
        </w:rPr>
      </w:pPr>
      <w:r w:rsidRPr="00BB3AA0">
        <w:rPr>
          <w:rFonts w:ascii="TradeGothic" w:hAnsi="TradeGothic"/>
          <w:sz w:val="20"/>
          <w:szCs w:val="20"/>
        </w:rPr>
        <w:t>SFD = Service Formation et Développement</w:t>
      </w:r>
    </w:p>
    <w:p w:rsidR="00BB3AA0" w:rsidRPr="00BB3AA0" w:rsidRDefault="00BB3AA0" w:rsidP="00BB3AA0">
      <w:pPr>
        <w:pStyle w:val="Paragraphedeliste"/>
        <w:numPr>
          <w:ilvl w:val="0"/>
          <w:numId w:val="4"/>
        </w:numPr>
        <w:spacing w:after="160" w:line="259" w:lineRule="auto"/>
        <w:rPr>
          <w:rFonts w:ascii="TradeGothic" w:hAnsi="TradeGothic"/>
          <w:sz w:val="20"/>
          <w:szCs w:val="20"/>
        </w:rPr>
      </w:pPr>
      <w:r w:rsidRPr="00BB3AA0">
        <w:rPr>
          <w:rFonts w:ascii="TradeGothic" w:hAnsi="TradeGothic"/>
          <w:sz w:val="20"/>
          <w:szCs w:val="20"/>
        </w:rPr>
        <w:t>RSE = Responsable Session d’Examen</w:t>
      </w:r>
    </w:p>
    <w:p w:rsidR="00E508AE" w:rsidRPr="00BB3AA0" w:rsidRDefault="00E508AE" w:rsidP="00E508AE">
      <w:pPr>
        <w:pStyle w:val="Pieddepage"/>
        <w:rPr>
          <w:rFonts w:ascii="TradeGothic" w:hAnsi="TradeGothic"/>
          <w:sz w:val="20"/>
          <w:szCs w:val="20"/>
        </w:rPr>
      </w:pPr>
    </w:p>
    <w:p w:rsidR="00E508AE" w:rsidRPr="00BB3AA0" w:rsidRDefault="00E508AE" w:rsidP="00E508AE">
      <w:pPr>
        <w:rPr>
          <w:rFonts w:ascii="TradeGothic" w:hAnsi="TradeGothic"/>
          <w:sz w:val="20"/>
          <w:szCs w:val="20"/>
        </w:rPr>
      </w:pPr>
    </w:p>
    <w:p w:rsidR="00720770" w:rsidRPr="00BB3AA0" w:rsidRDefault="00720770" w:rsidP="00720770">
      <w:pPr>
        <w:tabs>
          <w:tab w:val="left" w:pos="1325"/>
        </w:tabs>
        <w:rPr>
          <w:rFonts w:ascii="TradeGothic" w:hAnsi="TradeGothic"/>
          <w:sz w:val="20"/>
          <w:szCs w:val="20"/>
        </w:rPr>
      </w:pPr>
    </w:p>
    <w:p w:rsidR="0070783F" w:rsidRPr="00BB3AA0" w:rsidRDefault="0070783F">
      <w:pPr>
        <w:rPr>
          <w:rFonts w:ascii="TradeGothic" w:hAnsi="TradeGothic"/>
          <w:sz w:val="20"/>
          <w:szCs w:val="20"/>
        </w:rPr>
      </w:pPr>
    </w:p>
    <w:sectPr w:rsidR="0070783F" w:rsidRPr="00BB3AA0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A6" w:rsidRDefault="002253A6">
      <w:r>
        <w:separator/>
      </w:r>
    </w:p>
  </w:endnote>
  <w:endnote w:type="continuationSeparator" w:id="0">
    <w:p w:rsidR="002253A6" w:rsidRDefault="0022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A6" w:rsidRDefault="002253A6">
      <w:r>
        <w:separator/>
      </w:r>
    </w:p>
  </w:footnote>
  <w:footnote w:type="continuationSeparator" w:id="0">
    <w:p w:rsidR="002253A6" w:rsidRDefault="00225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253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253A6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253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469.5pt;height:507.75pt" o:bullet="t">
        <v:imagedata r:id="rId1" o:title="le i rouge"/>
      </v:shape>
    </w:pict>
  </w:numPicBullet>
  <w:abstractNum w:abstractNumId="0" w15:restartNumberingAfterBreak="0">
    <w:nsid w:val="0C025477"/>
    <w:multiLevelType w:val="hybridMultilevel"/>
    <w:tmpl w:val="E3B8B764"/>
    <w:lvl w:ilvl="0" w:tplc="697AF9A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253A6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B3AA0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customStyle="1" w:styleId="TableGrid">
    <w:name w:val="TableGrid"/>
    <w:rsid w:val="00BB3AA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auGrille1Clair-Accentuation3">
    <w:name w:val="Grid Table 1 Light Accent 3"/>
    <w:basedOn w:val="TableauNormal"/>
    <w:uiPriority w:val="46"/>
    <w:rsid w:val="00BB3AA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6822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2019-05-04T01:52:00Z</dcterms:created>
  <dcterms:modified xsi:type="dcterms:W3CDTF">2019-05-04T01:52:00Z</dcterms:modified>
</cp:coreProperties>
</file>