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11C9" w14:textId="77777777" w:rsidR="0045644A" w:rsidRDefault="00000000" w:rsidP="0009478E">
      <w:pPr>
        <w:spacing w:line="360" w:lineRule="auto"/>
      </w:pPr>
      <w:r>
        <w:br/>
      </w:r>
      <w:r>
        <w:br/>
      </w:r>
      <w:r>
        <w:br/>
      </w:r>
      <w:r>
        <w:br/>
      </w:r>
      <w:r>
        <w:br/>
      </w:r>
    </w:p>
    <w:p w14:paraId="54E112D3" w14:textId="77777777" w:rsidR="0045644A" w:rsidRDefault="00000000" w:rsidP="0009478E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1F3864"/>
          <w:sz w:val="48"/>
          <w:szCs w:val="48"/>
        </w:rPr>
        <w:t>NOTA TÉCNICA ATUARIAL</w:t>
      </w:r>
    </w:p>
    <w:p w14:paraId="599C1B71" w14:textId="77777777" w:rsidR="0045644A" w:rsidRDefault="00000000" w:rsidP="0009478E">
      <w:pPr>
        <w:spacing w:after="400" w:line="360" w:lineRule="auto"/>
        <w:jc w:val="center"/>
      </w:pPr>
      <w:r>
        <w:rPr>
          <w:rFonts w:ascii="Arial" w:eastAsia="Arial" w:hAnsi="Arial" w:cs="Arial"/>
          <w:b/>
          <w:bCs/>
          <w:color w:val="2E75B6"/>
          <w:sz w:val="36"/>
          <w:szCs w:val="36"/>
        </w:rPr>
        <w:t>SEGURO DE VIDA CAPITAL GLOBAL</w:t>
      </w:r>
    </w:p>
    <w:p w14:paraId="54D5A261" w14:textId="77777777" w:rsidR="0045644A" w:rsidRDefault="0045644A" w:rsidP="0009478E">
      <w:pPr>
        <w:pBdr>
          <w:bottom w:val="single" w:sz="1" w:space="0" w:color="AAAAAA"/>
        </w:pBdr>
        <w:spacing w:before="200" w:after="200" w:line="360" w:lineRule="auto"/>
      </w:pPr>
    </w:p>
    <w:p w14:paraId="22C34565" w14:textId="77777777" w:rsidR="0045644A" w:rsidRDefault="00000000" w:rsidP="0009478E">
      <w:pPr>
        <w:spacing w:after="160" w:line="360" w:lineRule="auto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Versão 2026 — Bases Biométricas Atualizadas</w:t>
      </w:r>
    </w:p>
    <w:p w14:paraId="384A0B95" w14:textId="517D3F91" w:rsidR="0045644A" w:rsidRDefault="00000000" w:rsidP="0009478E">
      <w:pPr>
        <w:spacing w:after="120" w:line="360" w:lineRule="auto"/>
        <w:jc w:val="center"/>
      </w:pPr>
      <w:r>
        <w:rPr>
          <w:rFonts w:ascii="Arial" w:eastAsia="Arial" w:hAnsi="Arial" w:cs="Arial"/>
          <w:i/>
          <w:iCs/>
          <w:color w:val="555555"/>
        </w:rPr>
        <w:t>BR-EMS 2021 (Mortalidade) | Álvaro Vindas (Invalidez) | Moser (Morbidez)</w:t>
      </w:r>
    </w:p>
    <w:p w14:paraId="0BAB2F72" w14:textId="66DEDEB8" w:rsidR="0045644A" w:rsidRDefault="0045644A" w:rsidP="0009478E">
      <w:pPr>
        <w:spacing w:after="500" w:line="360" w:lineRule="auto"/>
        <w:jc w:val="center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5644A" w14:paraId="68E53322" w14:textId="77777777">
        <w:tc>
          <w:tcPr>
            <w:tcW w:w="30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7D38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Seguradora: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999FB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STG Seguros S.A.</w:t>
            </w:r>
          </w:p>
        </w:tc>
      </w:tr>
      <w:tr w:rsidR="0045644A" w14:paraId="2CDF1B74" w14:textId="77777777">
        <w:tc>
          <w:tcPr>
            <w:tcW w:w="30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7906B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Produto: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C366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Vida Capital Global — Seguro de Vida Coletivo</w:t>
            </w:r>
          </w:p>
        </w:tc>
      </w:tr>
      <w:tr w:rsidR="0045644A" w14:paraId="4BCA285D" w14:textId="77777777">
        <w:tc>
          <w:tcPr>
            <w:tcW w:w="30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D006B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Grupo/Ramo: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5C31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09 – Pessoas Coletivo / 93 – Vida</w:t>
            </w:r>
          </w:p>
        </w:tc>
      </w:tr>
      <w:tr w:rsidR="0045644A" w14:paraId="7A669990" w14:textId="77777777">
        <w:tc>
          <w:tcPr>
            <w:tcW w:w="30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B5DEA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Processo SUSEP: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EA397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Em definição</w:t>
            </w:r>
          </w:p>
        </w:tc>
      </w:tr>
      <w:tr w:rsidR="0045644A" w14:paraId="1CBAE2CA" w14:textId="77777777">
        <w:tc>
          <w:tcPr>
            <w:tcW w:w="30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E34FA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Data do Estudo: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34AD7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2026</w:t>
            </w:r>
          </w:p>
        </w:tc>
      </w:tr>
      <w:tr w:rsidR="0045644A" w14:paraId="699B50E4" w14:textId="77777777">
        <w:tc>
          <w:tcPr>
            <w:tcW w:w="3000" w:type="dxa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B1A34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Atuário Responsável: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906E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Jardel Monti | MIBA 2664</w:t>
            </w:r>
          </w:p>
        </w:tc>
      </w:tr>
    </w:tbl>
    <w:p w14:paraId="067B2DC6" w14:textId="77777777" w:rsidR="0045644A" w:rsidRDefault="0045644A" w:rsidP="0009478E">
      <w:pPr>
        <w:pageBreakBefore/>
        <w:spacing w:line="360" w:lineRule="auto"/>
      </w:pPr>
    </w:p>
    <w:p w14:paraId="3E97B5EF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1. IDENTIFICAÇÃO DO PRODUTO</w:t>
      </w:r>
    </w:p>
    <w:p w14:paraId="5D2B63B8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Esta Nota Técnica Atuarial — NTA — estabelece as bases tarifárias, a metodologia de precificação, as provisões técnicas e os demais elementos técnicos do produto denominado Vida Capital Global, operacionalizado pela STG Seguros S.A.</w:t>
      </w:r>
    </w:p>
    <w:p w14:paraId="0816BEF2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2. OBJETIVO DA NOTA TÉCNICA ATUARIAL</w:t>
      </w:r>
    </w:p>
    <w:p w14:paraId="6BA7F06D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(a) Demonstrar as bases técnicas e biométricas que fundamentam a precificação de todas as coberturas do produto;</w:t>
      </w:r>
    </w:p>
    <w:p w14:paraId="24BF6D60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(b) Apresentar, de forma rastreável e auditável, as taxas puras anuais e mensais para cada cobertura, derivadas exclusivamente das tábuas BR-EMS 2021, Álvaro Vindas e Moser;</w:t>
      </w:r>
    </w:p>
    <w:p w14:paraId="5ED3C561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(c) Definir a estrutura de formação da taxa comercial com carregamentos parametrizados;</w:t>
      </w:r>
    </w:p>
    <w:p w14:paraId="7D47FB58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(d) Estabelecer os critérios de reavaliação tarifária e monitoramento da experiência.</w:t>
      </w:r>
    </w:p>
    <w:p w14:paraId="4D824864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3. CARACTERÍSTICAS DO SEGURO</w:t>
      </w:r>
    </w:p>
    <w:p w14:paraId="1A20140D" w14:textId="77777777" w:rsidR="0045644A" w:rsidRDefault="00000000" w:rsidP="0009478E">
      <w:pPr>
        <w:pStyle w:val="Ttulo2"/>
        <w:spacing w:line="360" w:lineRule="auto"/>
      </w:pPr>
      <w:r>
        <w:t>3.1 Modalidade</w:t>
      </w:r>
    </w:p>
    <w:p w14:paraId="5BADE387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Seguro de vida coletivo, contratado por pessoa jurídica (estipulante) em favor de seus empregados, colaboradores, sócios e/ou diretores estatutários.</w:t>
      </w:r>
    </w:p>
    <w:p w14:paraId="38FEA3B6" w14:textId="77777777" w:rsidR="0045644A" w:rsidRDefault="00000000" w:rsidP="0009478E">
      <w:pPr>
        <w:pStyle w:val="Ttulo2"/>
        <w:spacing w:line="360" w:lineRule="auto"/>
      </w:pPr>
      <w:r>
        <w:t>3.2 Grupos Seguráveis</w:t>
      </w:r>
    </w:p>
    <w:p w14:paraId="1BDB45A6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(i) Funcionários: vínculo empregatício comprovado pela GFIP; (</w:t>
      </w:r>
      <w:proofErr w:type="spellStart"/>
      <w:r>
        <w:rPr>
          <w:rFonts w:ascii="Arial" w:eastAsia="Arial" w:hAnsi="Arial" w:cs="Arial"/>
          <w:sz w:val="22"/>
          <w:szCs w:val="22"/>
        </w:rPr>
        <w:t>ii</w:t>
      </w:r>
      <w:proofErr w:type="spellEnd"/>
      <w:r>
        <w:rPr>
          <w:rFonts w:ascii="Arial" w:eastAsia="Arial" w:hAnsi="Arial" w:cs="Arial"/>
          <w:sz w:val="22"/>
          <w:szCs w:val="22"/>
        </w:rPr>
        <w:t>) Sócios e/ou Diretores Estatutários: constantes no Contrato Social; (</w:t>
      </w:r>
      <w:proofErr w:type="spellStart"/>
      <w:r>
        <w:rPr>
          <w:rFonts w:ascii="Arial" w:eastAsia="Arial" w:hAnsi="Arial" w:cs="Arial"/>
          <w:sz w:val="22"/>
          <w:szCs w:val="22"/>
        </w:rPr>
        <w:t>iii</w:t>
      </w:r>
      <w:proofErr w:type="spellEnd"/>
      <w:r>
        <w:rPr>
          <w:rFonts w:ascii="Arial" w:eastAsia="Arial" w:hAnsi="Arial" w:cs="Arial"/>
          <w:sz w:val="22"/>
          <w:szCs w:val="22"/>
        </w:rPr>
        <w:t>) Passageiros de Elevador: exclusivo para coberturas MA e IPA em elevadores.</w:t>
      </w:r>
    </w:p>
    <w:p w14:paraId="460BC48D" w14:textId="77777777" w:rsidR="0045644A" w:rsidRDefault="00000000" w:rsidP="0009478E">
      <w:pPr>
        <w:pStyle w:val="Ttulo2"/>
        <w:spacing w:line="360" w:lineRule="auto"/>
      </w:pPr>
      <w:r>
        <w:t>3.3 Capital Segurado</w:t>
      </w:r>
    </w:p>
    <w:p w14:paraId="4C80277E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O Capital Segurado Individual resulta da divisão do Capital Segurado Global pelo número de segurados do respectivo grupo, apurado no mês anterior ao sinistro.</w:t>
      </w:r>
    </w:p>
    <w:p w14:paraId="6B77F78B" w14:textId="77777777" w:rsidR="0045644A" w:rsidRDefault="00000000" w:rsidP="0009478E">
      <w:pPr>
        <w:pStyle w:val="Ttulo2"/>
        <w:spacing w:line="360" w:lineRule="auto"/>
      </w:pPr>
      <w:r>
        <w:t>3.4 Vigência</w:t>
      </w:r>
    </w:p>
    <w:p w14:paraId="7460897A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Até 5 (cinco) anos com renovação automática por igual período, salvo aviso prévio de 60 dias. A renovação automática ocorrerá uma única vez.</w:t>
      </w:r>
    </w:p>
    <w:p w14:paraId="3687026F" w14:textId="77777777" w:rsidR="0045644A" w:rsidRDefault="00000000" w:rsidP="0009478E">
      <w:pPr>
        <w:pStyle w:val="Ttulo2"/>
        <w:spacing w:line="360" w:lineRule="auto"/>
      </w:pPr>
      <w:r>
        <w:lastRenderedPageBreak/>
        <w:t>3.5 Carência</w:t>
      </w:r>
    </w:p>
    <w:p w14:paraId="74753290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Suicídio: carência de 2 (dois) anos a partir do início de vigência da cobertura individual. Demais coberturas: conforme proposta e apólice.</w:t>
      </w:r>
    </w:p>
    <w:p w14:paraId="4F21C123" w14:textId="77777777" w:rsidR="0045644A" w:rsidRDefault="00000000" w:rsidP="0009478E">
      <w:pPr>
        <w:pStyle w:val="Ttulo2"/>
        <w:spacing w:line="360" w:lineRule="auto"/>
      </w:pPr>
      <w:r>
        <w:t>3.6 Atualização Monetária</w:t>
      </w:r>
    </w:p>
    <w:p w14:paraId="5CFB3B3F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Capitais e prêmios atualizados anualmente pelo IPCA (ou IPC/FIPE em caso de extinção).</w:t>
      </w:r>
    </w:p>
    <w:p w14:paraId="2D1CD06E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4. COBERTURAS</w:t>
      </w:r>
    </w:p>
    <w:p w14:paraId="4574DF0E" w14:textId="77777777" w:rsidR="0045644A" w:rsidRDefault="00000000" w:rsidP="0009478E">
      <w:pPr>
        <w:pStyle w:val="Ttulo2"/>
        <w:spacing w:line="360" w:lineRule="auto"/>
      </w:pPr>
      <w:r>
        <w:t>4.1 Cobertura Básica</w:t>
      </w:r>
    </w:p>
    <w:p w14:paraId="2F9E06C9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Morte (natural ou acidental): garante o pagamento do capital segurado em caso de falecimento por qualquer causa.</w:t>
      </w:r>
    </w:p>
    <w:p w14:paraId="5C7719AB" w14:textId="77777777" w:rsidR="0045644A" w:rsidRDefault="00000000" w:rsidP="0009478E">
      <w:pPr>
        <w:pStyle w:val="Ttulo2"/>
        <w:spacing w:line="360" w:lineRule="auto"/>
      </w:pPr>
      <w:r>
        <w:t>4.2 Coberturas Complementares</w:t>
      </w:r>
    </w:p>
    <w:p w14:paraId="6020AE5A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IAC — Inclusão Automática de Cônjuge: extensão da cobertura de Morte ao cônjuge/companheiro(a).</w:t>
      </w:r>
    </w:p>
    <w:p w14:paraId="60CDAEDA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IAF — Inclusão Automática de Filhos: extensão da cobertura de Morte aos filhos dependentes.</w:t>
      </w:r>
    </w:p>
    <w:p w14:paraId="4DB9BA36" w14:textId="77777777" w:rsidR="0045644A" w:rsidRDefault="00000000" w:rsidP="0009478E">
      <w:pPr>
        <w:pStyle w:val="Ttulo2"/>
        <w:spacing w:line="360" w:lineRule="auto"/>
      </w:pPr>
      <w:r>
        <w:t>4.3 Coberturas Adicionais</w:t>
      </w:r>
    </w:p>
    <w:p w14:paraId="69297B5D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IEA — Indenização Especial por Morte Acidental a Negócios.</w:t>
      </w:r>
    </w:p>
    <w:p w14:paraId="776E7F24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IPA — Invalidez Permanente Total ou Parcial por Acidente (DM = 50%).</w:t>
      </w:r>
    </w:p>
    <w:p w14:paraId="6510788B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IPTA — Invalidez Permanente Total por Acidente (DM = 100%).</w:t>
      </w:r>
    </w:p>
    <w:p w14:paraId="43ED5F10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IPDF — Invalidez Permanente Total por Doença Funcional.</w:t>
      </w:r>
    </w:p>
    <w:p w14:paraId="0464B83E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IPDL — Invalidez Permanente Total por Doença Laborativa.</w:t>
      </w:r>
    </w:p>
    <w:p w14:paraId="26FCC451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AF — Auxílio Funeral.</w:t>
      </w:r>
    </w:p>
    <w:p w14:paraId="4A042E31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DMHO — Despesas Médicas Hospitalares e Odontológicas.</w:t>
      </w:r>
    </w:p>
    <w:p w14:paraId="1D6CF4AE" w14:textId="77777777" w:rsidR="0045644A" w:rsidRDefault="00000000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DMH — Despesas Médicas Hospitalares.</w:t>
      </w:r>
    </w:p>
    <w:p w14:paraId="78D87E09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46AC57D0" w14:textId="77777777" w:rsidR="0009478E" w:rsidRDefault="0009478E" w:rsidP="0009478E">
      <w:pPr>
        <w:spacing w:after="140" w:line="360" w:lineRule="auto"/>
        <w:jc w:val="both"/>
      </w:pPr>
    </w:p>
    <w:p w14:paraId="77F379BF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lastRenderedPageBreak/>
        <w:t>5. DEFINIÇÕES E NOTAÇÕES TÉCNICAS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8"/>
        <w:gridCol w:w="7742"/>
      </w:tblGrid>
      <w:tr w:rsidR="0045644A" w14:paraId="1F45A9AB" w14:textId="77777777"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799D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Notação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06529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Definição</w:t>
            </w:r>
          </w:p>
        </w:tc>
      </w:tr>
      <w:tr w:rsidR="0045644A" w14:paraId="00A329DA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ABB7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TAP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5D257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Taxa Anual Pura — risco puro, sem carregamentos comerciais</w:t>
            </w:r>
          </w:p>
        </w:tc>
      </w:tr>
      <w:tr w:rsidR="0045644A" w14:paraId="03853099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9464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TAC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A8AA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Taxa Anual Comercial — TAP acrescida de carregamentos e tributos</w:t>
            </w:r>
          </w:p>
        </w:tc>
      </w:tr>
      <w:tr w:rsidR="0045644A" w14:paraId="3423F325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6212B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34251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Taxa de Risco = Frequência × Dano Médio</w:t>
            </w:r>
          </w:p>
        </w:tc>
      </w:tr>
      <w:tr w:rsidR="0045644A" w14:paraId="3BB4F4C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3A47C" w14:textId="77777777" w:rsidR="0045644A" w:rsidRDefault="00000000" w:rsidP="0009478E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qx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A2546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Probabilidade anual do evento (morte ou invalidez) à idade x</w:t>
            </w:r>
          </w:p>
        </w:tc>
      </w:tr>
      <w:tr w:rsidR="0045644A" w14:paraId="1F628F49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F43FF" w14:textId="77777777" w:rsidR="0045644A" w:rsidRDefault="00000000" w:rsidP="0009478E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qm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4EF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Probabilidade mensal equivalente = 1 − (1 −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qa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)^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(1/12)</w:t>
            </w:r>
          </w:p>
        </w:tc>
      </w:tr>
      <w:tr w:rsidR="0045644A" w14:paraId="4997C5A3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F9B6B" w14:textId="77777777" w:rsidR="0045644A" w:rsidRDefault="00000000" w:rsidP="0009478E">
            <w:pPr>
              <w:spacing w:line="360" w:lineRule="auto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ix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A1EA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Probabilidade anual de entrada em invalidez à idade x (Álvaro Vindas)</w:t>
            </w:r>
          </w:p>
        </w:tc>
      </w:tr>
      <w:tr w:rsidR="0045644A" w14:paraId="24616E90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E28B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%IBNR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0D0A7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Carregamento IBNR = 15% (padrão regulatório SUSEP)</w:t>
            </w:r>
          </w:p>
        </w:tc>
      </w:tr>
      <w:tr w:rsidR="0045644A" w14:paraId="295FD8DE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B4043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D1BCA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Carregamento de oscilação de risco = 5%</w:t>
            </w:r>
          </w:p>
        </w:tc>
      </w:tr>
      <w:tr w:rsidR="0045644A" w14:paraId="702F20EC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F973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9C9CA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Dano Médio — proporção do capital pago em sinistro</w:t>
            </w:r>
          </w:p>
        </w:tc>
      </w:tr>
      <w:tr w:rsidR="0045644A" w14:paraId="51486F88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F611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2DF96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Capital Segurado</w:t>
            </w:r>
          </w:p>
        </w:tc>
      </w:tr>
      <w:tr w:rsidR="0045644A" w14:paraId="112989C2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B9FC7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β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D7A4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Carregamentos comerciais — parametrizados, a definir</w:t>
            </w:r>
          </w:p>
        </w:tc>
      </w:tr>
      <w:tr w:rsidR="0045644A" w14:paraId="49301170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68A4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3A57B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Tributação — IOF e encargos = 4,65%</w:t>
            </w:r>
          </w:p>
        </w:tc>
      </w:tr>
    </w:tbl>
    <w:p w14:paraId="5419CC0B" w14:textId="77777777" w:rsidR="0045644A" w:rsidRDefault="0045644A" w:rsidP="0009478E">
      <w:pPr>
        <w:spacing w:after="140" w:line="360" w:lineRule="auto"/>
        <w:jc w:val="both"/>
      </w:pPr>
    </w:p>
    <w:p w14:paraId="7CB595C3" w14:textId="77777777" w:rsidR="0045644A" w:rsidRDefault="0045644A" w:rsidP="0009478E">
      <w:pPr>
        <w:pageBreakBefore/>
        <w:spacing w:line="360" w:lineRule="auto"/>
      </w:pPr>
    </w:p>
    <w:p w14:paraId="5D3F5CE3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6. BASES BIOMÉTRICAS</w:t>
      </w:r>
    </w:p>
    <w:p w14:paraId="15B7F63B" w14:textId="77777777" w:rsidR="0045644A" w:rsidRDefault="00000000" w:rsidP="0009478E">
      <w:pPr>
        <w:pStyle w:val="Ttulo2"/>
        <w:spacing w:line="360" w:lineRule="auto"/>
      </w:pPr>
      <w:r>
        <w:t>6.1 Tábua de Mortalidade — BR-EMSmt-v.2021-m (BR-EMS 2021 Male)</w:t>
      </w:r>
    </w:p>
    <w:p w14:paraId="4D6DE769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Fonte: UFRJ / </w:t>
      </w:r>
      <w:proofErr w:type="spellStart"/>
      <w:r>
        <w:rPr>
          <w:rFonts w:ascii="Arial" w:eastAsia="Arial" w:hAnsi="Arial" w:cs="Arial"/>
          <w:sz w:val="22"/>
          <w:szCs w:val="22"/>
        </w:rPr>
        <w:t>FenaSeguro</w:t>
      </w:r>
      <w:proofErr w:type="spellEnd"/>
      <w:r>
        <w:rPr>
          <w:rFonts w:ascii="Arial" w:eastAsia="Arial" w:hAnsi="Arial" w:cs="Arial"/>
          <w:sz w:val="22"/>
          <w:szCs w:val="22"/>
        </w:rPr>
        <w:t>. Tábua de mortalidade da Experiência do Mercado Segurador Brasileiro — masculina. Cobre idades de 0 a 116 anos. Reflete a evolução recente da mortalidade da carteira de seguros de pessoas no Brasil.</w:t>
      </w:r>
    </w:p>
    <w:p w14:paraId="0C5386E8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Aplicação: coberturas Morte, IAC, IAF, IEA e AF.</w:t>
      </w:r>
    </w:p>
    <w:p w14:paraId="595D8C18" w14:textId="77777777" w:rsidR="0045644A" w:rsidRDefault="00000000" w:rsidP="0009478E">
      <w:pPr>
        <w:pStyle w:val="Ttulo2"/>
        <w:spacing w:line="360" w:lineRule="auto"/>
      </w:pPr>
      <w:r>
        <w:t>6.2 Tábua de Entrada em Invalidez — Álvaro Vindas</w:t>
      </w:r>
    </w:p>
    <w:p w14:paraId="74D4608A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Fonte: Vindas, A. — América Latina. Fornece probabilidades anuais de entrada em invalidez (</w:t>
      </w:r>
      <w:proofErr w:type="spellStart"/>
      <w:r>
        <w:rPr>
          <w:rFonts w:ascii="Arial" w:eastAsia="Arial" w:hAnsi="Arial" w:cs="Arial"/>
          <w:sz w:val="22"/>
          <w:szCs w:val="22"/>
        </w:rPr>
        <w:t>ix</w:t>
      </w:r>
      <w:proofErr w:type="spellEnd"/>
      <w:r>
        <w:rPr>
          <w:rFonts w:ascii="Arial" w:eastAsia="Arial" w:hAnsi="Arial" w:cs="Arial"/>
          <w:sz w:val="22"/>
          <w:szCs w:val="22"/>
        </w:rPr>
        <w:t>) por idade, de 15 a 90 anos.</w:t>
      </w:r>
    </w:p>
    <w:p w14:paraId="12887696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Aplicação: coberturas IPA (DM=50%), IPTA (DM=100%), e como base para proxy de IPDF e IPDL (agravamento de 30%).</w:t>
      </w:r>
    </w:p>
    <w:p w14:paraId="183A1410" w14:textId="4EAD9D24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.</w:t>
      </w:r>
    </w:p>
    <w:p w14:paraId="07206CCD" w14:textId="77777777" w:rsidR="0045644A" w:rsidRDefault="00000000" w:rsidP="0009478E">
      <w:pPr>
        <w:pStyle w:val="Ttulo2"/>
        <w:spacing w:line="360" w:lineRule="auto"/>
      </w:pPr>
      <w:r>
        <w:t>6.3 Tábua de Morbidez — Moser</w:t>
      </w:r>
    </w:p>
    <w:p w14:paraId="01FAB6CA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Fonte: Moser, E. Fornece dias médios de afastamento por doença por ano (idades 16 a 80). Convertida em probabilidade anual pela divisão por 365.</w:t>
      </w:r>
    </w:p>
    <w:p w14:paraId="0A430D59" w14:textId="77777777" w:rsidR="0045644A" w:rsidRDefault="00000000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Aplicação: coberturas DMHO e DMH.</w:t>
      </w:r>
    </w:p>
    <w:p w14:paraId="237D96F3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4679E358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118ED2D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6A28F6D9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E630EBC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40802ACC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7A9BBDD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210240AF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82226D2" w14:textId="77777777" w:rsidR="0009478E" w:rsidRDefault="0009478E" w:rsidP="0009478E">
      <w:pPr>
        <w:spacing w:after="140" w:line="360" w:lineRule="auto"/>
        <w:jc w:val="both"/>
      </w:pPr>
    </w:p>
    <w:p w14:paraId="11977A7E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lastRenderedPageBreak/>
        <w:t>7. PREMISSAS ATUARIAIS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9"/>
        <w:gridCol w:w="1044"/>
        <w:gridCol w:w="4967"/>
      </w:tblGrid>
      <w:tr w:rsidR="0045644A" w14:paraId="70C81D44" w14:textId="77777777"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2E06D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Premissa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8BFB1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EBA27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45644A" w14:paraId="03E41A74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B54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Carregamento IBNR (%IBNR)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1930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15,00%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06A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Padrão regulatório SUSEP para riscos pessoais</w:t>
            </w:r>
          </w:p>
        </w:tc>
      </w:tr>
      <w:tr w:rsidR="0045644A" w14:paraId="02D6349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79481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Oscilação de risco (θ)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F3D3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5,00%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D31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Margem conservadora — julgamento atuarial</w:t>
            </w:r>
          </w:p>
        </w:tc>
      </w:tr>
      <w:tr w:rsidR="0045644A" w14:paraId="5D75964F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B4C2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Tributação (T)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57E3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4,65%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6D85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IOF vigente — Reforma Tributária desconsiderada</w:t>
            </w:r>
          </w:p>
        </w:tc>
      </w:tr>
      <w:tr w:rsidR="0045644A" w14:paraId="44FA7FF2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42A5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Dano Médio IPA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93D0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50,00%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7CF5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Hipótese conservadora para cobertura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parcial+total</w:t>
            </w:r>
            <w:proofErr w:type="spellEnd"/>
          </w:p>
        </w:tc>
      </w:tr>
      <w:tr w:rsidR="0045644A" w14:paraId="3EB55784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B2F1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Dano Médio IPTA / DMHO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99C4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100,00%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E4336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Capital integral / conservador</w:t>
            </w:r>
          </w:p>
        </w:tc>
      </w:tr>
      <w:tr w:rsidR="0045644A" w14:paraId="37E4A263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482E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Agravamento IPDF e IPDL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CF5C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30,00%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D06A3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Proxy sobre IPTA — sem tábua específica no arquivo</w:t>
            </w:r>
          </w:p>
        </w:tc>
      </w:tr>
      <w:tr w:rsidR="0045644A" w14:paraId="4FCD7B5F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67D84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Agravamento AF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A0AB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15,00%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9FF8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Custo funeral adicional sobre mortalidade base</w:t>
            </w:r>
          </w:p>
        </w:tc>
      </w:tr>
      <w:tr w:rsidR="0045644A" w14:paraId="4EE545EA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2B95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Prop. tempo a negócios (IEA)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DF41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30.39%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8C40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11h/dia × 22 dias × 11 meses ÷ 8.760h/ano</w:t>
            </w:r>
          </w:p>
        </w:tc>
      </w:tr>
    </w:tbl>
    <w:p w14:paraId="4CB80822" w14:textId="77777777" w:rsidR="0045644A" w:rsidRDefault="0045644A" w:rsidP="0009478E">
      <w:pPr>
        <w:spacing w:after="140" w:line="360" w:lineRule="auto"/>
        <w:jc w:val="both"/>
      </w:pPr>
    </w:p>
    <w:p w14:paraId="4B1CF04B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i/>
          <w:iCs/>
          <w:sz w:val="22"/>
          <w:szCs w:val="22"/>
        </w:rPr>
        <w:t>Premissa expressa — Tributação: a carga de 4,65% não considera efeitos da Reforma Tributária, expressamente desconsiderada nesta versão. Deverá ser revisada quando da entrada em vigor das novas alíquotas.</w:t>
      </w:r>
    </w:p>
    <w:p w14:paraId="6F451017" w14:textId="77777777" w:rsidR="0045644A" w:rsidRDefault="0045644A" w:rsidP="0009478E">
      <w:pPr>
        <w:pageBreakBefore/>
        <w:spacing w:line="360" w:lineRule="auto"/>
      </w:pPr>
    </w:p>
    <w:p w14:paraId="47873260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8. METODOLOGIA GERAL DE PRECIFICAÇÃO</w:t>
      </w:r>
    </w:p>
    <w:p w14:paraId="28A455A2" w14:textId="77777777" w:rsidR="0045644A" w:rsidRDefault="00000000" w:rsidP="0009478E">
      <w:pPr>
        <w:pStyle w:val="Ttulo2"/>
        <w:spacing w:line="360" w:lineRule="auto"/>
      </w:pPr>
      <w:r>
        <w:t>8.1 Princípio de Equivalência Atuarial</w:t>
      </w:r>
    </w:p>
    <w:p w14:paraId="4375E9A4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O prêmio puro deve igualar o valor esperado das indenizações. Para coberturas de frequência × severidade:</w:t>
      </w:r>
    </w:p>
    <w:p w14:paraId="1D90FE7D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= TR × (1 + %IBNR) × (1 + θ)</w:t>
      </w:r>
    </w:p>
    <w:p w14:paraId="5E7FC6F1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Onde TR = Frequência de sinistros × Dano Médio.</w:t>
      </w:r>
    </w:p>
    <w:p w14:paraId="66FFFAF8" w14:textId="77777777" w:rsidR="0045644A" w:rsidRDefault="00000000" w:rsidP="0009478E">
      <w:pPr>
        <w:pStyle w:val="Ttulo2"/>
        <w:spacing w:line="360" w:lineRule="auto"/>
      </w:pPr>
      <w:r>
        <w:t>8.2 Ponderação por Perfil Etário Corporativo</w:t>
      </w:r>
    </w:p>
    <w:p w14:paraId="054BD9C2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A taxa ponderada é obtida por:</w:t>
      </w:r>
    </w:p>
    <w:p w14:paraId="49ED9CE6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</w:t>
      </w:r>
      <w:proofErr w:type="spellStart"/>
      <w:r>
        <w:rPr>
          <w:rFonts w:ascii="Arial" w:eastAsia="Arial" w:hAnsi="Arial" w:cs="Arial"/>
          <w:sz w:val="22"/>
          <w:szCs w:val="22"/>
        </w:rPr>
        <w:t>TP_carteira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gramStart"/>
      <w:r>
        <w:rPr>
          <w:rFonts w:ascii="Arial" w:eastAsia="Arial" w:hAnsi="Arial" w:cs="Arial"/>
          <w:sz w:val="22"/>
          <w:szCs w:val="22"/>
        </w:rPr>
        <w:t>Σ(</w:t>
      </w:r>
      <w:proofErr w:type="spellStart"/>
      <w:proofErr w:type="gramEnd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× </w:t>
      </w:r>
      <w:proofErr w:type="spellStart"/>
      <w:r>
        <w:rPr>
          <w:rFonts w:ascii="Arial" w:eastAsia="Arial" w:hAnsi="Arial" w:cs="Arial"/>
          <w:sz w:val="22"/>
          <w:szCs w:val="22"/>
        </w:rPr>
        <w:t>qx_i</w:t>
      </w:r>
      <w:proofErr w:type="spellEnd"/>
      <w:r>
        <w:rPr>
          <w:rFonts w:ascii="Arial" w:eastAsia="Arial" w:hAnsi="Arial" w:cs="Arial"/>
          <w:sz w:val="22"/>
          <w:szCs w:val="22"/>
        </w:rPr>
        <w:t>) / Σ(</w:t>
      </w:r>
      <w:proofErr w:type="spellStart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3BA910F3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Pesos: 18-25 anos = 3,0 | 26-35 anos = 5,0 | 36-45 anos = 4,0 | 46-55 anos = 3,0 | 56-65 anos = 1,5</w:t>
      </w:r>
    </w:p>
    <w:p w14:paraId="5FFC1B9C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Os pesos refletem a distribuição etária típica de uma carteira corporativa brasileira. Devem ser calibrados com os dados reais da carteira da STG à medida que disponíveis.</w:t>
      </w:r>
    </w:p>
    <w:p w14:paraId="65BC07A3" w14:textId="77777777" w:rsidR="0045644A" w:rsidRDefault="00000000" w:rsidP="0009478E">
      <w:pPr>
        <w:pStyle w:val="Ttulo2"/>
        <w:spacing w:line="360" w:lineRule="auto"/>
      </w:pPr>
      <w:r>
        <w:t>8.3 Conversão Anual para Mensal</w:t>
      </w:r>
    </w:p>
    <w:p w14:paraId="797DDB7E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Conversão probabilística — preserva a equivalência atuarial:</w:t>
      </w:r>
    </w:p>
    <w:p w14:paraId="6C5A6476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</w:t>
      </w:r>
      <w:proofErr w:type="spellStart"/>
      <w:r>
        <w:rPr>
          <w:rFonts w:ascii="Arial" w:eastAsia="Arial" w:hAnsi="Arial" w:cs="Arial"/>
          <w:sz w:val="22"/>
          <w:szCs w:val="22"/>
        </w:rPr>
        <w:t>qm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1 − (1 −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qa</w:t>
      </w:r>
      <w:proofErr w:type="spellEnd"/>
      <w:r>
        <w:rPr>
          <w:rFonts w:ascii="Arial" w:eastAsia="Arial" w:hAnsi="Arial" w:cs="Arial"/>
          <w:sz w:val="22"/>
          <w:szCs w:val="22"/>
        </w:rPr>
        <w:t>)^</w:t>
      </w:r>
      <w:proofErr w:type="gramEnd"/>
      <w:r>
        <w:rPr>
          <w:rFonts w:ascii="Arial" w:eastAsia="Arial" w:hAnsi="Arial" w:cs="Arial"/>
          <w:sz w:val="22"/>
          <w:szCs w:val="22"/>
        </w:rPr>
        <w:t>(1/12)</w:t>
      </w:r>
    </w:p>
    <w:p w14:paraId="62CCEE16" w14:textId="77777777" w:rsidR="0045644A" w:rsidRDefault="00000000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Esta formulação é matematicamente superior à simples divisão por 12, que subestima a taxa mensal para probabilidades anuais elevadas. Utilizada para todas as coberturas.</w:t>
      </w:r>
    </w:p>
    <w:p w14:paraId="0F3B7A6D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2821404D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DA8502B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4B9342DD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C93E8C7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772A5D3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24C7AAB3" w14:textId="77777777" w:rsidR="0009478E" w:rsidRDefault="0009478E" w:rsidP="0009478E">
      <w:pPr>
        <w:spacing w:after="140" w:line="360" w:lineRule="auto"/>
        <w:jc w:val="both"/>
      </w:pPr>
    </w:p>
    <w:p w14:paraId="6AD6BF7F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lastRenderedPageBreak/>
        <w:t>9. METODOLOGIA E TAXAS PURAS POR COBERTURA</w:t>
      </w:r>
    </w:p>
    <w:p w14:paraId="4B7D4E7E" w14:textId="77777777" w:rsidR="0045644A" w:rsidRDefault="00000000" w:rsidP="0009478E">
      <w:pPr>
        <w:pStyle w:val="Ttulo2"/>
        <w:spacing w:line="360" w:lineRule="auto"/>
      </w:pPr>
      <w:r>
        <w:t>9.1 Morte (Básica)</w:t>
      </w:r>
    </w:p>
    <w:p w14:paraId="21390C38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Risco: mortalidade. Base: BR-EMS 2021 male. Idades: 18 a 65 anos (ponderadas).</w:t>
      </w:r>
    </w:p>
    <w:p w14:paraId="24968F05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</w:t>
      </w:r>
      <w:proofErr w:type="spellStart"/>
      <w:r>
        <w:rPr>
          <w:rFonts w:ascii="Arial" w:eastAsia="Arial" w:hAnsi="Arial" w:cs="Arial"/>
          <w:sz w:val="22"/>
          <w:szCs w:val="22"/>
        </w:rPr>
        <w:t>TR_morte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gramStart"/>
      <w:r>
        <w:rPr>
          <w:rFonts w:ascii="Arial" w:eastAsia="Arial" w:hAnsi="Arial" w:cs="Arial"/>
          <w:sz w:val="22"/>
          <w:szCs w:val="22"/>
        </w:rPr>
        <w:t>Σ(</w:t>
      </w:r>
      <w:proofErr w:type="spellStart"/>
      <w:proofErr w:type="gramEnd"/>
      <w:r>
        <w:rPr>
          <w:rFonts w:ascii="Arial" w:eastAsia="Arial" w:hAnsi="Arial" w:cs="Arial"/>
          <w:sz w:val="22"/>
          <w:szCs w:val="22"/>
        </w:rPr>
        <w:t>qx_i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× </w:t>
      </w:r>
      <w:proofErr w:type="spellStart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>) / Σ(</w:t>
      </w:r>
      <w:proofErr w:type="spellStart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>) = 0.2526% a.a.</w:t>
      </w:r>
    </w:p>
    <w:p w14:paraId="3EF98204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</w:t>
      </w:r>
      <w:proofErr w:type="spellStart"/>
      <w:r>
        <w:rPr>
          <w:rFonts w:ascii="Arial" w:eastAsia="Arial" w:hAnsi="Arial" w:cs="Arial"/>
          <w:sz w:val="22"/>
          <w:szCs w:val="22"/>
        </w:rPr>
        <w:t>TP_morte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TR × (1+15%) × (1+5%)</w:t>
      </w:r>
    </w:p>
    <w:p w14:paraId="04FDAD12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Anual = 0.3051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0.0255%</w:t>
      </w:r>
    </w:p>
    <w:p w14:paraId="12E5484F" w14:textId="77777777" w:rsidR="0045644A" w:rsidRDefault="00000000" w:rsidP="0009478E">
      <w:pPr>
        <w:pStyle w:val="Ttulo2"/>
        <w:spacing w:line="360" w:lineRule="auto"/>
      </w:pPr>
      <w:r>
        <w:t>9.2 IAC — Inclusão Automática de Cônjuge</w:t>
      </w:r>
    </w:p>
    <w:p w14:paraId="0113BE18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Mesma tábua e metodologia da cobertura básica de Morte (BR-EMS 2021 male, idades 18-65).</w:t>
      </w:r>
    </w:p>
    <w:p w14:paraId="6D704574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Anual = 0.3051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0.0255%</w:t>
      </w:r>
    </w:p>
    <w:p w14:paraId="07256FD4" w14:textId="77777777" w:rsidR="0045644A" w:rsidRDefault="00000000" w:rsidP="0009478E">
      <w:pPr>
        <w:pStyle w:val="Ttulo2"/>
        <w:spacing w:line="360" w:lineRule="auto"/>
      </w:pPr>
      <w:r>
        <w:t>9.3 IAF — Inclusão Automática de Filhos</w:t>
      </w:r>
    </w:p>
    <w:p w14:paraId="423FBA42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Base: BR-EMS 2021 male, idades 0 a 17 anos (dependentes filhos). Média simples das probabilidades.</w:t>
      </w:r>
    </w:p>
    <w:p w14:paraId="21D95031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TR_IAF = Média simples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qx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>0-17) = 0.0294% a.a.</w:t>
      </w:r>
    </w:p>
    <w:p w14:paraId="28E635F4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Anual = 0.0355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0.0030%</w:t>
      </w:r>
    </w:p>
    <w:p w14:paraId="22B0966D" w14:textId="77777777" w:rsidR="0045644A" w:rsidRDefault="00000000" w:rsidP="0009478E">
      <w:pPr>
        <w:pStyle w:val="Ttulo2"/>
        <w:spacing w:line="360" w:lineRule="auto"/>
      </w:pPr>
      <w:r>
        <w:t>9.4 IEA — Indenização Especial por Morte Acidental</w:t>
      </w:r>
    </w:p>
    <w:p w14:paraId="6B87A3B2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Base: BR-EMS 2021 male. Fator de exposição: proporção do tempo anual gasto em atividades a negócios.</w:t>
      </w:r>
    </w:p>
    <w:p w14:paraId="4D9FC42C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Horas a negócios = 11h/dia × 22 dias/mês × 11 meses = 2.662 h</w:t>
      </w:r>
    </w:p>
    <w:p w14:paraId="0535A407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Total horas/ano = 8.760 h → Proporção = 2.662/8.760 = 30.3881%</w:t>
      </w:r>
    </w:p>
    <w:p w14:paraId="75E2646D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TR_IEA = </w:t>
      </w:r>
      <w:proofErr w:type="spellStart"/>
      <w:r>
        <w:rPr>
          <w:rFonts w:ascii="Arial" w:eastAsia="Arial" w:hAnsi="Arial" w:cs="Arial"/>
          <w:sz w:val="22"/>
          <w:szCs w:val="22"/>
        </w:rPr>
        <w:t>TR_morte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× proporção = 0.0768% a.a.</w:t>
      </w:r>
    </w:p>
    <w:p w14:paraId="0933992B" w14:textId="77777777" w:rsidR="0045644A" w:rsidRDefault="00000000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TP Anual = 0.0927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0.0077%</w:t>
      </w:r>
    </w:p>
    <w:p w14:paraId="776C7A19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4CDBEE3B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756B8589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D7F8035" w14:textId="77777777" w:rsidR="0009478E" w:rsidRDefault="0009478E" w:rsidP="0009478E">
      <w:pPr>
        <w:spacing w:after="140" w:line="360" w:lineRule="auto"/>
        <w:jc w:val="both"/>
      </w:pPr>
    </w:p>
    <w:p w14:paraId="1B87CBEF" w14:textId="77777777" w:rsidR="0045644A" w:rsidRDefault="00000000" w:rsidP="0009478E">
      <w:pPr>
        <w:pStyle w:val="Ttulo2"/>
        <w:spacing w:line="360" w:lineRule="auto"/>
      </w:pPr>
      <w:r>
        <w:lastRenderedPageBreak/>
        <w:t>9.5 IPA — Invalidez Permanente Total ou Parcial por Acidente</w:t>
      </w:r>
    </w:p>
    <w:p w14:paraId="43A743F9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Base: Álvaro Vindas. DM = 50% (cobertura cobre invalidez parcial e total; hipótese conservadora).</w:t>
      </w:r>
    </w:p>
    <w:p w14:paraId="02E7917C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TR_IPA = </w:t>
      </w:r>
      <w:proofErr w:type="gramStart"/>
      <w:r>
        <w:rPr>
          <w:rFonts w:ascii="Arial" w:eastAsia="Arial" w:hAnsi="Arial" w:cs="Arial"/>
          <w:sz w:val="22"/>
          <w:szCs w:val="22"/>
        </w:rPr>
        <w:t>Σ(</w:t>
      </w:r>
      <w:proofErr w:type="spellStart"/>
      <w:proofErr w:type="gramEnd"/>
      <w:r>
        <w:rPr>
          <w:rFonts w:ascii="Arial" w:eastAsia="Arial" w:hAnsi="Arial" w:cs="Arial"/>
          <w:sz w:val="22"/>
          <w:szCs w:val="22"/>
        </w:rPr>
        <w:t>ix_i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× </w:t>
      </w:r>
      <w:proofErr w:type="spellStart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>) / Σ(</w:t>
      </w:r>
      <w:proofErr w:type="spellStart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>) × 50% = 0.0738% a.a.</w:t>
      </w:r>
    </w:p>
    <w:p w14:paraId="08C4F65A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Anual = 0.0892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0.0074%</w:t>
      </w:r>
    </w:p>
    <w:p w14:paraId="072B85EF" w14:textId="77777777" w:rsidR="0045644A" w:rsidRDefault="00000000" w:rsidP="0009478E">
      <w:pPr>
        <w:pStyle w:val="Ttulo2"/>
        <w:spacing w:line="360" w:lineRule="auto"/>
      </w:pPr>
      <w:r>
        <w:t>9.6 IPTA — Invalidez Permanente Total por Acidente</w:t>
      </w:r>
    </w:p>
    <w:p w14:paraId="2BBDE4E1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Base: Álvaro Vindas. DM = 100% (capital integral pago em caso de invalidez total).</w:t>
      </w:r>
    </w:p>
    <w:p w14:paraId="2F0245C3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TR_IPTA = </w:t>
      </w:r>
      <w:proofErr w:type="gramStart"/>
      <w:r>
        <w:rPr>
          <w:rFonts w:ascii="Arial" w:eastAsia="Arial" w:hAnsi="Arial" w:cs="Arial"/>
          <w:sz w:val="22"/>
          <w:szCs w:val="22"/>
        </w:rPr>
        <w:t>Σ(</w:t>
      </w:r>
      <w:proofErr w:type="spellStart"/>
      <w:proofErr w:type="gramEnd"/>
      <w:r>
        <w:rPr>
          <w:rFonts w:ascii="Arial" w:eastAsia="Arial" w:hAnsi="Arial" w:cs="Arial"/>
          <w:sz w:val="22"/>
          <w:szCs w:val="22"/>
        </w:rPr>
        <w:t>ix_i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× </w:t>
      </w:r>
      <w:proofErr w:type="spellStart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>) / Σ(</w:t>
      </w:r>
      <w:proofErr w:type="spellStart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>) = 0.1477% a.a.</w:t>
      </w:r>
    </w:p>
    <w:p w14:paraId="053B1B5E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Anual = 0.1783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0.0149%</w:t>
      </w:r>
    </w:p>
    <w:p w14:paraId="47958A3D" w14:textId="77777777" w:rsidR="0045644A" w:rsidRDefault="00000000" w:rsidP="0009478E">
      <w:pPr>
        <w:pStyle w:val="Ttulo2"/>
        <w:spacing w:line="360" w:lineRule="auto"/>
      </w:pPr>
      <w:r>
        <w:t>9.7 IPDF — Invalidez Permanente Total por Doença Funcional</w:t>
      </w:r>
    </w:p>
    <w:p w14:paraId="4EE51CA0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Não há tábua específica de invalidez por doença no arquivo Tábuas.xlsx. Proxy técnico adotado: TP_IPTA agravado em 30%, considerando que invalidez por doença funcional tende a apresentar maior frequência que invalidez por acidente.</w:t>
      </w:r>
    </w:p>
    <w:p w14:paraId="4688177E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Anual = TP_IPTA × 1,30 = 0.2318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0.0193%</w:t>
      </w:r>
    </w:p>
    <w:p w14:paraId="6DFA0FCB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Limitação expressamente registrada: esta taxa é uma estimativa conservadora. Deverá ser revisada quando disponível tábua específica (ex.: BRP/</w:t>
      </w:r>
      <w:proofErr w:type="spellStart"/>
      <w:r>
        <w:rPr>
          <w:rFonts w:ascii="Arial" w:eastAsia="Arial" w:hAnsi="Arial" w:cs="Arial"/>
          <w:sz w:val="22"/>
          <w:szCs w:val="22"/>
        </w:rPr>
        <w:t>CNseg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2D3CC27A" w14:textId="77777777" w:rsidR="0045644A" w:rsidRDefault="00000000" w:rsidP="0009478E">
      <w:pPr>
        <w:pStyle w:val="Ttulo2"/>
        <w:spacing w:line="360" w:lineRule="auto"/>
      </w:pPr>
      <w:r>
        <w:t>9.8 IPDL — Invalidez Permanente Total por Doença Laborativa</w:t>
      </w:r>
    </w:p>
    <w:p w14:paraId="0EFD932C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Mesma metodologia do IPDF. Proxy: TP_IPTA agravado em 30%.</w:t>
      </w:r>
    </w:p>
    <w:p w14:paraId="3103B216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Anual = 0.2318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0.0193%</w:t>
      </w:r>
    </w:p>
    <w:p w14:paraId="75D3CB2F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Limitação: mesma do IPDF. Revisão recomendada com dados do BRP/</w:t>
      </w:r>
      <w:proofErr w:type="spellStart"/>
      <w:r>
        <w:rPr>
          <w:rFonts w:ascii="Arial" w:eastAsia="Arial" w:hAnsi="Arial" w:cs="Arial"/>
          <w:sz w:val="22"/>
          <w:szCs w:val="22"/>
        </w:rPr>
        <w:t>CNseg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926B811" w14:textId="77777777" w:rsidR="0045644A" w:rsidRDefault="00000000" w:rsidP="0009478E">
      <w:pPr>
        <w:pStyle w:val="Ttulo2"/>
        <w:spacing w:line="360" w:lineRule="auto"/>
      </w:pPr>
      <w:r>
        <w:t>9.9 AF — Auxílio Funeral</w:t>
      </w:r>
    </w:p>
    <w:p w14:paraId="3D7056E4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Base: BR-EMS 2021 male. Derivada da cobertura de Morte com agravamento de 15% para refletir custos funerários adicionais.</w:t>
      </w:r>
    </w:p>
    <w:p w14:paraId="19C24631" w14:textId="77777777" w:rsidR="0045644A" w:rsidRDefault="00000000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TP Anual = </w:t>
      </w:r>
      <w:proofErr w:type="spellStart"/>
      <w:r>
        <w:rPr>
          <w:rFonts w:ascii="Arial" w:eastAsia="Arial" w:hAnsi="Arial" w:cs="Arial"/>
          <w:sz w:val="22"/>
          <w:szCs w:val="22"/>
        </w:rPr>
        <w:t>TP_morte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× 1,15 = 0.3508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0.0293%</w:t>
      </w:r>
    </w:p>
    <w:p w14:paraId="729246EE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614966EB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01EF151" w14:textId="77777777" w:rsidR="0009478E" w:rsidRDefault="0009478E" w:rsidP="0009478E">
      <w:pPr>
        <w:spacing w:after="140" w:line="360" w:lineRule="auto"/>
        <w:jc w:val="both"/>
      </w:pPr>
    </w:p>
    <w:p w14:paraId="4D0B85B7" w14:textId="77777777" w:rsidR="0045644A" w:rsidRDefault="00000000" w:rsidP="0009478E">
      <w:pPr>
        <w:pStyle w:val="Ttulo2"/>
        <w:spacing w:line="360" w:lineRule="auto"/>
      </w:pPr>
      <w:r>
        <w:lastRenderedPageBreak/>
        <w:t>9.10 DMHO — Despesas Médicas Hospitalares e Odontológicas</w:t>
      </w:r>
    </w:p>
    <w:p w14:paraId="4E1594FF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Base: Moser. Conversão: probabilidade anual = dias/365. DM = 100% (conservador).</w:t>
      </w:r>
    </w:p>
    <w:p w14:paraId="2D01DA79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TR_DMHO = </w:t>
      </w:r>
      <w:proofErr w:type="gramStart"/>
      <w:r>
        <w:rPr>
          <w:rFonts w:ascii="Arial" w:eastAsia="Arial" w:hAnsi="Arial" w:cs="Arial"/>
          <w:sz w:val="22"/>
          <w:szCs w:val="22"/>
        </w:rPr>
        <w:t>Σ(</w:t>
      </w:r>
      <w:proofErr w:type="gramEnd"/>
      <w:r>
        <w:rPr>
          <w:rFonts w:ascii="Arial" w:eastAsia="Arial" w:hAnsi="Arial" w:cs="Arial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dias_i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365) × </w:t>
      </w:r>
      <w:proofErr w:type="spellStart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>) / Σ(</w:t>
      </w:r>
      <w:proofErr w:type="spellStart"/>
      <w:r>
        <w:rPr>
          <w:rFonts w:ascii="Arial" w:eastAsia="Arial" w:hAnsi="Arial" w:cs="Arial"/>
          <w:sz w:val="22"/>
          <w:szCs w:val="22"/>
        </w:rPr>
        <w:t>w_i</w:t>
      </w:r>
      <w:proofErr w:type="spellEnd"/>
      <w:r>
        <w:rPr>
          <w:rFonts w:ascii="Arial" w:eastAsia="Arial" w:hAnsi="Arial" w:cs="Arial"/>
          <w:sz w:val="22"/>
          <w:szCs w:val="22"/>
        </w:rPr>
        <w:t>) = 2.1437% a.a.</w:t>
      </w:r>
    </w:p>
    <w:p w14:paraId="3B2713A6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Anual = 2.5886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0.2183%</w:t>
      </w:r>
    </w:p>
    <w:p w14:paraId="652989EA" w14:textId="77777777" w:rsidR="0045644A" w:rsidRDefault="00000000" w:rsidP="0009478E">
      <w:pPr>
        <w:pStyle w:val="Ttulo2"/>
        <w:spacing w:line="360" w:lineRule="auto"/>
      </w:pPr>
      <w:r>
        <w:t>9.11 DMH — Despesas Médicas Hospitalares</w:t>
      </w:r>
    </w:p>
    <w:p w14:paraId="059CC235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Mesma base e metodologia da DMHO. Adotada a mesma taxa por conservadorismo, pois a tábua Moser não diferencia hospitalares de odontológicas.</w:t>
      </w:r>
    </w:p>
    <w:p w14:paraId="69D329D1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TP Anual = 2.5886</w:t>
      </w:r>
      <w:proofErr w:type="gramStart"/>
      <w:r>
        <w:rPr>
          <w:rFonts w:ascii="Arial" w:eastAsia="Arial" w:hAnsi="Arial" w:cs="Arial"/>
          <w:sz w:val="22"/>
          <w:szCs w:val="22"/>
        </w:rPr>
        <w:t>%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TP Mensal = 0.2183%</w:t>
      </w:r>
    </w:p>
    <w:p w14:paraId="64F82A77" w14:textId="77777777" w:rsidR="0045644A" w:rsidRDefault="0045644A" w:rsidP="0009478E">
      <w:pPr>
        <w:pageBreakBefore/>
        <w:spacing w:line="360" w:lineRule="auto"/>
      </w:pPr>
    </w:p>
    <w:p w14:paraId="1F81F485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10. QUADRO EXECUTIVO DE TAXAS PURAS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1919"/>
        <w:gridCol w:w="1314"/>
        <w:gridCol w:w="1456"/>
        <w:gridCol w:w="2893"/>
      </w:tblGrid>
      <w:tr w:rsidR="0045644A" w14:paraId="0776BA1D" w14:textId="77777777"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4B43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Cobertura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A24FB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96A48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TP Anual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F0F5E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TP Mensal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D605D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Base Biométrica</w:t>
            </w:r>
          </w:p>
        </w:tc>
      </w:tr>
      <w:tr w:rsidR="0045644A" w14:paraId="397D0B0E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E945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Morte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DDB7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Mortalidade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8786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0.3051%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01F6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0.0255%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0676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BR-EMS 2021</w:t>
            </w:r>
          </w:p>
        </w:tc>
      </w:tr>
      <w:tr w:rsidR="0045644A" w14:paraId="3249CB25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DEA23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IAC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BF03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Mortalidade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B7454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0.3051%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A8825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0.0255%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5ADD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BR-EMS 2021</w:t>
            </w:r>
          </w:p>
        </w:tc>
      </w:tr>
      <w:tr w:rsidR="0045644A" w14:paraId="296B889C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32853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IAF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EE8D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Mortalidade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7878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0.0355%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61BF4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0.0030%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B536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BR-EMS 2021 (0-17)</w:t>
            </w:r>
          </w:p>
        </w:tc>
      </w:tr>
      <w:tr w:rsidR="0045644A" w14:paraId="2E2890F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49B9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IEA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2D92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Morte Acidental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1CEC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0.0927%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6ED8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0.0077%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24AB4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BR-EMS 2021 × 30.39%</w:t>
            </w:r>
          </w:p>
        </w:tc>
      </w:tr>
      <w:tr w:rsidR="0045644A" w14:paraId="3CEAD89F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E28B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IPA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C341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Invalidez Ac.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83B9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0.0892%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3D245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0.0074%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6A8E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Álvaro Vindas DM=50%</w:t>
            </w:r>
          </w:p>
        </w:tc>
      </w:tr>
      <w:tr w:rsidR="0045644A" w14:paraId="54735960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2DC5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IPTA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9A885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Invalidez Ac.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2DADE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0.1783%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36DB5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0.0149%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4AAA4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Álvaro Vindas DM=100%</w:t>
            </w:r>
          </w:p>
        </w:tc>
      </w:tr>
      <w:tr w:rsidR="0045644A" w14:paraId="6DFB3318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8A531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IPDF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64987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Invalidez Doe.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F9C21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0.2318%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580E5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0.0193%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EA20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Álvaro Vindas +30%</w:t>
            </w:r>
          </w:p>
        </w:tc>
      </w:tr>
      <w:tr w:rsidR="0045644A" w14:paraId="5D0FFB78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41B6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IPDL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FA3E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Invalidez Lab.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8E79B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0.2318%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9D8E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0.0193%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4287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Álvaro Vindas +30%</w:t>
            </w:r>
          </w:p>
        </w:tc>
      </w:tr>
      <w:tr w:rsidR="0045644A" w14:paraId="22307E6F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1FEE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AF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8D88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Mortalidade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7C8E7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0.3508%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3043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0.0293%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456B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BR-EMS 2021 +15%</w:t>
            </w:r>
          </w:p>
        </w:tc>
      </w:tr>
      <w:tr w:rsidR="0045644A" w14:paraId="47D4A493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F1FD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DMHO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5922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Morbidez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50FE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2.5886%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0D9A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0.2183%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9C9E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Moser (dias/365)</w:t>
            </w:r>
          </w:p>
        </w:tc>
      </w:tr>
      <w:tr w:rsidR="0045644A" w14:paraId="11A538FE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A719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DMH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3C38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Morbidez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11BE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2.5886%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89BE0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0.2183%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0BF3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Moser (dias/365)</w:t>
            </w:r>
          </w:p>
        </w:tc>
      </w:tr>
    </w:tbl>
    <w:p w14:paraId="0A8813BC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Unidade: % do Capital Segurado. Taxas puras — anteriores a qualquer carregamento comercial.</w:t>
      </w:r>
    </w:p>
    <w:p w14:paraId="2169D443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11. CARREGAMENTOS</w:t>
      </w:r>
    </w:p>
    <w:p w14:paraId="7400D452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Os carregamentos permanecem parametrizados para definição pela seguradora: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9"/>
        <w:gridCol w:w="1803"/>
        <w:gridCol w:w="2488"/>
      </w:tblGrid>
      <w:tr w:rsidR="0045644A" w14:paraId="3103D75C" w14:textId="77777777"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E40A7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Carregamento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3320B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Símbolo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8EA2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Intervalo</w:t>
            </w:r>
          </w:p>
        </w:tc>
      </w:tr>
      <w:tr w:rsidR="0045644A" w14:paraId="36BE8907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9BDA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Despesas Administrativas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DE30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β_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adm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C178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1% a 25%</w:t>
            </w:r>
          </w:p>
        </w:tc>
      </w:tr>
      <w:tr w:rsidR="0045644A" w14:paraId="30229455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BB13A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Margem de Lucro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AD62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β_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luc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7BA4B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1% a 10%</w:t>
            </w:r>
          </w:p>
        </w:tc>
      </w:tr>
      <w:tr w:rsidR="0045644A" w14:paraId="705F2A85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1467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Pró-Labore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F96E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β_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pro</w:t>
            </w:r>
            <w:proofErr w:type="gramEnd"/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2F0D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0% a 80%</w:t>
            </w:r>
          </w:p>
        </w:tc>
      </w:tr>
      <w:tr w:rsidR="0045644A" w14:paraId="6BD0B069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F212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Agenciamento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EAA7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β_age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1CA74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0% a 25%</w:t>
            </w:r>
          </w:p>
        </w:tc>
      </w:tr>
      <w:tr w:rsidR="0045644A" w14:paraId="38A43A64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C980B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Comissão de Corretagem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1A70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β_cor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27B63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0,01% a 80%</w:t>
            </w:r>
          </w:p>
        </w:tc>
      </w:tr>
    </w:tbl>
    <w:p w14:paraId="0F60D55D" w14:textId="77777777" w:rsidR="0045644A" w:rsidRDefault="0045644A" w:rsidP="0009478E">
      <w:pPr>
        <w:spacing w:after="140" w:line="360" w:lineRule="auto"/>
        <w:jc w:val="both"/>
      </w:pPr>
    </w:p>
    <w:p w14:paraId="37F6E41E" w14:textId="77777777" w:rsidR="0009478E" w:rsidRDefault="0009478E" w:rsidP="0009478E">
      <w:pPr>
        <w:spacing w:after="140" w:line="360" w:lineRule="auto"/>
        <w:jc w:val="both"/>
      </w:pPr>
    </w:p>
    <w:p w14:paraId="5565AF55" w14:textId="77777777" w:rsidR="0009478E" w:rsidRDefault="0009478E" w:rsidP="0009478E">
      <w:pPr>
        <w:spacing w:after="140" w:line="360" w:lineRule="auto"/>
        <w:jc w:val="both"/>
      </w:pPr>
    </w:p>
    <w:p w14:paraId="72566BC5" w14:textId="77777777" w:rsidR="0009478E" w:rsidRDefault="0009478E" w:rsidP="0009478E">
      <w:pPr>
        <w:spacing w:after="140" w:line="360" w:lineRule="auto"/>
        <w:jc w:val="both"/>
      </w:pPr>
    </w:p>
    <w:p w14:paraId="10E60BC2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lastRenderedPageBreak/>
        <w:t>12. TRIBUTAÇÃO</w:t>
      </w:r>
    </w:p>
    <w:p w14:paraId="645DC314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i/>
          <w:iCs/>
          <w:sz w:val="22"/>
          <w:szCs w:val="22"/>
        </w:rPr>
        <w:t>T = 4,65% (IOF e encargos vigentes). Premissa expressa: os efeitos da Reforma Tributária estão desconsiderados nesta versão e deverão ser incorporados em revisão futura.</w:t>
      </w:r>
    </w:p>
    <w:p w14:paraId="7C11B98B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13. FORMAÇÃO DA TAXA COMERCIAL</w:t>
      </w:r>
    </w:p>
    <w:p w14:paraId="4F07FD2F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Gross-</w:t>
      </w:r>
      <w:proofErr w:type="spellStart"/>
      <w:r>
        <w:rPr>
          <w:rFonts w:ascii="Arial" w:eastAsia="Arial" w:hAnsi="Arial" w:cs="Arial"/>
          <w:sz w:val="22"/>
          <w:szCs w:val="22"/>
        </w:rPr>
        <w:t>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 taxa pura pelos carregamentos e tributos:</w:t>
      </w:r>
    </w:p>
    <w:p w14:paraId="0088DF4D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TC = TP / (1 − β_total − T)</w:t>
      </w:r>
    </w:p>
    <w:p w14:paraId="1DEB3DAE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Onde β_total = β_</w:t>
      </w:r>
      <w:proofErr w:type="spellStart"/>
      <w:r>
        <w:rPr>
          <w:rFonts w:ascii="Arial" w:eastAsia="Arial" w:hAnsi="Arial" w:cs="Arial"/>
          <w:sz w:val="22"/>
          <w:szCs w:val="22"/>
        </w:rPr>
        <w:t>adm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+ β_</w:t>
      </w:r>
      <w:proofErr w:type="spellStart"/>
      <w:r>
        <w:rPr>
          <w:rFonts w:ascii="Arial" w:eastAsia="Arial" w:hAnsi="Arial" w:cs="Arial"/>
          <w:sz w:val="22"/>
          <w:szCs w:val="22"/>
        </w:rPr>
        <w:t>luc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+ β_</w:t>
      </w:r>
      <w:proofErr w:type="gramStart"/>
      <w:r>
        <w:rPr>
          <w:rFonts w:ascii="Arial" w:eastAsia="Arial" w:hAnsi="Arial" w:cs="Arial"/>
          <w:sz w:val="22"/>
          <w:szCs w:val="22"/>
        </w:rPr>
        <w:t>pro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+ β_age + β_</w:t>
      </w:r>
      <w:proofErr w:type="gramStart"/>
      <w:r>
        <w:rPr>
          <w:rFonts w:ascii="Arial" w:eastAsia="Arial" w:hAnsi="Arial" w:cs="Arial"/>
          <w:sz w:val="22"/>
          <w:szCs w:val="22"/>
        </w:rPr>
        <w:t>cor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 = 4,65%</w:t>
      </w:r>
    </w:p>
    <w:p w14:paraId="64A9F23C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Prêmio anual: PC = </w:t>
      </w:r>
      <w:proofErr w:type="spellStart"/>
      <w:r>
        <w:rPr>
          <w:rFonts w:ascii="Arial" w:eastAsia="Arial" w:hAnsi="Arial" w:cs="Arial"/>
          <w:sz w:val="22"/>
          <w:szCs w:val="22"/>
        </w:rPr>
        <w:t>TC_anual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× </w:t>
      </w:r>
      <w:proofErr w:type="gramStart"/>
      <w:r>
        <w:rPr>
          <w:rFonts w:ascii="Arial" w:eastAsia="Arial" w:hAnsi="Arial" w:cs="Arial"/>
          <w:sz w:val="22"/>
          <w:szCs w:val="22"/>
        </w:rPr>
        <w:t>CS  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Prêmio mensal: PM = </w:t>
      </w:r>
      <w:proofErr w:type="spellStart"/>
      <w:r>
        <w:rPr>
          <w:rFonts w:ascii="Arial" w:eastAsia="Arial" w:hAnsi="Arial" w:cs="Arial"/>
          <w:sz w:val="22"/>
          <w:szCs w:val="22"/>
        </w:rPr>
        <w:t>TC_mensal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× CS</w:t>
      </w:r>
    </w:p>
    <w:p w14:paraId="66BECBB6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14. FRACIONAMENTO DO PRÊMIO</w:t>
      </w:r>
    </w:p>
    <w:p w14:paraId="4099FA75" w14:textId="77777777" w:rsidR="0045644A" w:rsidRDefault="00000000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Taxa pura mensal obtida por equivalência probabilística: </w:t>
      </w:r>
      <w:proofErr w:type="spellStart"/>
      <w:r>
        <w:rPr>
          <w:rFonts w:ascii="Arial" w:eastAsia="Arial" w:hAnsi="Arial" w:cs="Arial"/>
          <w:sz w:val="22"/>
          <w:szCs w:val="22"/>
        </w:rPr>
        <w:t>TPm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1 − (1 −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TPa</w:t>
      </w:r>
      <w:proofErr w:type="spellEnd"/>
      <w:r>
        <w:rPr>
          <w:rFonts w:ascii="Arial" w:eastAsia="Arial" w:hAnsi="Arial" w:cs="Arial"/>
          <w:sz w:val="22"/>
          <w:szCs w:val="22"/>
        </w:rPr>
        <w:t>)^</w:t>
      </w:r>
      <w:proofErr w:type="gramEnd"/>
      <w:r>
        <w:rPr>
          <w:rFonts w:ascii="Arial" w:eastAsia="Arial" w:hAnsi="Arial" w:cs="Arial"/>
          <w:sz w:val="22"/>
          <w:szCs w:val="22"/>
        </w:rPr>
        <w:t>(1/12). Sem acréscimo administrativo de fracionamento. Tabela de prazo curto aplicada em inadimplência conforme Condições Gerais.</w:t>
      </w:r>
    </w:p>
    <w:p w14:paraId="1794F3A1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755465E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4D53C0D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282D66ED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111040D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6708B15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7D792896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728D6EF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215DD31E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63FB553E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549AA4F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2DD6BB31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7A8BAF34" w14:textId="77777777" w:rsidR="0009478E" w:rsidRDefault="0009478E" w:rsidP="0009478E">
      <w:pPr>
        <w:spacing w:after="140" w:line="360" w:lineRule="auto"/>
        <w:jc w:val="both"/>
      </w:pPr>
    </w:p>
    <w:p w14:paraId="6E2A1F36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lastRenderedPageBreak/>
        <w:t>15. DESCONTOS</w:t>
      </w:r>
    </w:p>
    <w:p w14:paraId="60FC4A1C" w14:textId="77777777" w:rsidR="0045644A" w:rsidRDefault="00000000" w:rsidP="0009478E">
      <w:pPr>
        <w:pStyle w:val="Ttulo2"/>
        <w:spacing w:line="360" w:lineRule="auto"/>
      </w:pPr>
      <w:r>
        <w:t>15.1 Desconto por Experiência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4"/>
        <w:gridCol w:w="1628"/>
        <w:gridCol w:w="1805"/>
        <w:gridCol w:w="1805"/>
        <w:gridCol w:w="1248"/>
      </w:tblGrid>
      <w:tr w:rsidR="0045644A" w14:paraId="7E49244E" w14:textId="77777777"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3F8CD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Expostos/ano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CA824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0%-30%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B347C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31%-50%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956DC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51%-70%</w:t>
            </w:r>
          </w:p>
        </w:tc>
        <w:tc>
          <w:tcPr>
            <w:tcW w:w="0" w:type="auto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5F948" w14:textId="77777777" w:rsidR="0045644A" w:rsidRDefault="00000000" w:rsidP="0009478E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&gt;70%</w:t>
            </w:r>
          </w:p>
        </w:tc>
      </w:tr>
      <w:tr w:rsidR="0045644A" w14:paraId="466B5DA7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CCEE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&gt; 1.500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CA566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0,77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1F2DA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E62E6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4D2E4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45644A" w14:paraId="4FAC08BE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4AE01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&gt; 2.500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42A24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0,67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16F62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0,97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AE74E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79F8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45644A" w14:paraId="6825E82C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83F36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&gt; 5.000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DBA75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0,56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6EB0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0,84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435AD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C1386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45644A" w14:paraId="3648D8B2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8E0CA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&gt; 15.000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46213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0,45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351AF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0,69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19E29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0,93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D60D6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45644A" w14:paraId="41F054E7" w14:textId="77777777"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DEE2C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&gt; 50.000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6C8BA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0,38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F70FE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0,61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AFEA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0,83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F9693" w14:textId="77777777" w:rsidR="0045644A" w:rsidRDefault="00000000" w:rsidP="0009478E">
            <w:pPr>
              <w:spacing w:line="36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</w:tbl>
    <w:p w14:paraId="61D99850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16. PROCEDIMENTO DE REAVALIAÇÃO TARIFÁRIA</w:t>
      </w:r>
    </w:p>
    <w:p w14:paraId="73B51FFB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Acompanhamento estatístico anual. Reavaliação da TAP pela expressão:</w:t>
      </w:r>
    </w:p>
    <w:p w14:paraId="0698E81B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    TAP = [N.S.O × (1+δ) × E(x) + Zα × </w:t>
      </w:r>
      <w:proofErr w:type="gramStart"/>
      <w:r>
        <w:rPr>
          <w:rFonts w:ascii="Arial" w:eastAsia="Arial" w:hAnsi="Arial" w:cs="Arial"/>
          <w:sz w:val="22"/>
          <w:szCs w:val="22"/>
        </w:rPr>
        <w:t>√(</w:t>
      </w:r>
      <w:proofErr w:type="gramEnd"/>
      <w:r>
        <w:rPr>
          <w:rFonts w:ascii="Arial" w:eastAsia="Arial" w:hAnsi="Arial" w:cs="Arial"/>
          <w:sz w:val="22"/>
          <w:szCs w:val="22"/>
        </w:rPr>
        <w:t>N.S.O × (1+δ) × E(x²))] / (N × IS)</w:t>
      </w:r>
    </w:p>
    <w:p w14:paraId="330D1A78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Onde: N.S.O = sinistros ocorridos; δ = fator IBNR; E(x) = sinistro médio; E(x²) = média dos quadrados; Zα ∈ [1,28; 2,58]; N = expostos; IS = importância segurada média.</w:t>
      </w:r>
    </w:p>
    <w:p w14:paraId="18BD2C16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Revisão encaminhada à SUSEP antes de aplicação. Alterações exigem anuência de segurados representando ao menos 3/4 do grupo.</w:t>
      </w:r>
    </w:p>
    <w:p w14:paraId="2C510E34" w14:textId="77777777" w:rsidR="0045644A" w:rsidRDefault="00000000" w:rsidP="0009478E">
      <w:pPr>
        <w:pStyle w:val="Ttulo1"/>
        <w:shd w:val="clear" w:color="auto" w:fill="D6E4F0"/>
        <w:spacing w:line="360" w:lineRule="auto"/>
      </w:pPr>
      <w:r>
        <w:t>17. MONITORAMENTO DA EXPERIÊNCIA</w:t>
      </w:r>
    </w:p>
    <w:p w14:paraId="3C9A9BEF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Indicadores mensais: (i) frequência observada vs. esperada por cobertura; (</w:t>
      </w:r>
      <w:proofErr w:type="spellStart"/>
      <w:r>
        <w:rPr>
          <w:rFonts w:ascii="Arial" w:eastAsia="Arial" w:hAnsi="Arial" w:cs="Arial"/>
          <w:sz w:val="22"/>
          <w:szCs w:val="22"/>
        </w:rPr>
        <w:t>ii</w:t>
      </w:r>
      <w:proofErr w:type="spellEnd"/>
      <w:r>
        <w:rPr>
          <w:rFonts w:ascii="Arial" w:eastAsia="Arial" w:hAnsi="Arial" w:cs="Arial"/>
          <w:sz w:val="22"/>
          <w:szCs w:val="22"/>
        </w:rPr>
        <w:t>) dano médio observado vs. premissa; (</w:t>
      </w:r>
      <w:proofErr w:type="spellStart"/>
      <w:r>
        <w:rPr>
          <w:rFonts w:ascii="Arial" w:eastAsia="Arial" w:hAnsi="Arial" w:cs="Arial"/>
          <w:sz w:val="22"/>
          <w:szCs w:val="22"/>
        </w:rPr>
        <w:t>iii</w:t>
      </w:r>
      <w:proofErr w:type="spellEnd"/>
      <w:r>
        <w:rPr>
          <w:rFonts w:ascii="Arial" w:eastAsia="Arial" w:hAnsi="Arial" w:cs="Arial"/>
          <w:sz w:val="22"/>
          <w:szCs w:val="22"/>
        </w:rPr>
        <w:t>) sinistralidade pura e comercial; (</w:t>
      </w:r>
      <w:proofErr w:type="spellStart"/>
      <w:r>
        <w:rPr>
          <w:rFonts w:ascii="Arial" w:eastAsia="Arial" w:hAnsi="Arial" w:cs="Arial"/>
          <w:sz w:val="22"/>
          <w:szCs w:val="22"/>
        </w:rPr>
        <w:t>iv</w:t>
      </w:r>
      <w:proofErr w:type="spellEnd"/>
      <w:r>
        <w:rPr>
          <w:rFonts w:ascii="Arial" w:eastAsia="Arial" w:hAnsi="Arial" w:cs="Arial"/>
          <w:sz w:val="22"/>
          <w:szCs w:val="22"/>
        </w:rPr>
        <w:t>) expostos e capital exposto; (v) análise por faixa etária, sexo e estipulante; (vi) credibilidade estatística (</w:t>
      </w:r>
      <w:proofErr w:type="spellStart"/>
      <w:r>
        <w:rPr>
          <w:rFonts w:ascii="Arial" w:eastAsia="Arial" w:hAnsi="Arial" w:cs="Arial"/>
          <w:sz w:val="22"/>
          <w:szCs w:val="22"/>
        </w:rPr>
        <w:t>Bühlmann-Straub</w:t>
      </w:r>
      <w:proofErr w:type="spellEnd"/>
      <w:r>
        <w:rPr>
          <w:rFonts w:ascii="Arial" w:eastAsia="Arial" w:hAnsi="Arial" w:cs="Arial"/>
          <w:sz w:val="22"/>
          <w:szCs w:val="22"/>
        </w:rPr>
        <w:t>, mínimo 2 anos).</w:t>
      </w:r>
    </w:p>
    <w:p w14:paraId="125CFEC3" w14:textId="77777777" w:rsidR="0045644A" w:rsidRDefault="00000000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experiência acumulada subsidiará a substituição das tábuas Álvaro Vindas e Moser por bases proprietárias ou pelo BRP/</w:t>
      </w:r>
      <w:proofErr w:type="spellStart"/>
      <w:r>
        <w:rPr>
          <w:rFonts w:ascii="Arial" w:eastAsia="Arial" w:hAnsi="Arial" w:cs="Arial"/>
          <w:sz w:val="22"/>
          <w:szCs w:val="22"/>
        </w:rPr>
        <w:t>CNseg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quando disponíveis.</w:t>
      </w:r>
    </w:p>
    <w:p w14:paraId="721DDF30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77207D2F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1962782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23CB8CFB" w14:textId="77777777" w:rsidR="0009478E" w:rsidRDefault="0009478E" w:rsidP="0009478E">
      <w:pPr>
        <w:spacing w:after="140" w:line="360" w:lineRule="auto"/>
        <w:jc w:val="both"/>
      </w:pPr>
    </w:p>
    <w:p w14:paraId="746E39B5" w14:textId="402EC060" w:rsidR="0045644A" w:rsidRDefault="00000000" w:rsidP="0009478E">
      <w:pPr>
        <w:pStyle w:val="Ttulo1"/>
        <w:shd w:val="clear" w:color="auto" w:fill="D6E4F0"/>
        <w:spacing w:line="360" w:lineRule="auto"/>
      </w:pPr>
      <w:r>
        <w:lastRenderedPageBreak/>
        <w:t>1</w:t>
      </w:r>
      <w:r w:rsidR="00232F22">
        <w:t>8</w:t>
      </w:r>
      <w:r>
        <w:t>. PROVISÕES TÉCNICAS</w:t>
      </w:r>
    </w:p>
    <w:p w14:paraId="43A8BD94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Constituídas conforme regulamentação CNSP/SUSEP vigente, incluindo PPNG, PSL, IBNR e demais provisões aplicáveis.</w:t>
      </w:r>
    </w:p>
    <w:p w14:paraId="3CEC0682" w14:textId="25C8FCE8" w:rsidR="0045644A" w:rsidRDefault="00000000" w:rsidP="0009478E">
      <w:pPr>
        <w:pStyle w:val="Ttulo1"/>
        <w:shd w:val="clear" w:color="auto" w:fill="D6E4F0"/>
        <w:spacing w:line="360" w:lineRule="auto"/>
      </w:pPr>
      <w:r>
        <w:t>2</w:t>
      </w:r>
      <w:r w:rsidR="00232F22">
        <w:t>0</w:t>
      </w:r>
      <w:r>
        <w:t>. LIMITAÇÕES DA METODOLOGIA</w:t>
      </w:r>
    </w:p>
    <w:p w14:paraId="50C684E2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ii</w:t>
      </w:r>
      <w:proofErr w:type="spellEnd"/>
      <w:r>
        <w:rPr>
          <w:rFonts w:ascii="Arial" w:eastAsia="Arial" w:hAnsi="Arial" w:cs="Arial"/>
          <w:sz w:val="22"/>
          <w:szCs w:val="22"/>
        </w:rPr>
        <w:t>) Moser: sem diferenciação por sexo — taxa única adotada;</w:t>
      </w:r>
    </w:p>
    <w:p w14:paraId="6AE4B7C7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iii</w:t>
      </w:r>
      <w:proofErr w:type="spellEnd"/>
      <w:r>
        <w:rPr>
          <w:rFonts w:ascii="Arial" w:eastAsia="Arial" w:hAnsi="Arial" w:cs="Arial"/>
          <w:sz w:val="22"/>
          <w:szCs w:val="22"/>
        </w:rPr>
        <w:t>) Pesos etários: estimativa de perfil corporativo — calibrar com carteira real da STG;</w:t>
      </w:r>
    </w:p>
    <w:p w14:paraId="636B39CA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iv</w:t>
      </w:r>
      <w:proofErr w:type="spellEnd"/>
      <w:r>
        <w:rPr>
          <w:rFonts w:ascii="Arial" w:eastAsia="Arial" w:hAnsi="Arial" w:cs="Arial"/>
          <w:sz w:val="22"/>
          <w:szCs w:val="22"/>
        </w:rPr>
        <w:t>) Tributação: 4,65% sem Reforma Tributária;</w:t>
      </w:r>
    </w:p>
    <w:p w14:paraId="7F0E614C" w14:textId="31E3F842" w:rsidR="0009478E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(v) DM IPA = 50%: hipótese conservadora sem base estatística própria — monitorar na experiência.</w:t>
      </w:r>
    </w:p>
    <w:p w14:paraId="3EDF3B2F" w14:textId="77777777" w:rsidR="0045644A" w:rsidRDefault="0045644A" w:rsidP="0009478E">
      <w:pPr>
        <w:spacing w:after="140" w:line="360" w:lineRule="auto"/>
        <w:jc w:val="both"/>
      </w:pPr>
    </w:p>
    <w:p w14:paraId="14EE611B" w14:textId="77777777" w:rsidR="0045644A" w:rsidRDefault="0045644A" w:rsidP="0009478E">
      <w:pPr>
        <w:spacing w:after="140" w:line="360" w:lineRule="auto"/>
        <w:jc w:val="both"/>
      </w:pPr>
    </w:p>
    <w:p w14:paraId="180FF2EC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Jardel Monti</w:t>
      </w:r>
    </w:p>
    <w:p w14:paraId="36E6FE5C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Atuário Responsável Técnico | MIBA 2664</w:t>
      </w:r>
    </w:p>
    <w:p w14:paraId="56B8D2DB" w14:textId="77777777" w:rsidR="0045644A" w:rsidRDefault="00000000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STG Seguros S.A. | 2026</w:t>
      </w:r>
    </w:p>
    <w:p w14:paraId="5000993C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6BF2E29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00C0493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4944ADA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F1EBE3D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39E256F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29FDBA4" w14:textId="77777777" w:rsidR="0009478E" w:rsidRDefault="0009478E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B2AB5C7" w14:textId="77777777" w:rsidR="00232F22" w:rsidRDefault="00232F22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03068FD" w14:textId="77777777" w:rsidR="00232F22" w:rsidRDefault="00232F22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0EE6F92" w14:textId="77777777" w:rsidR="00232F22" w:rsidRDefault="00232F22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E829118" w14:textId="77777777" w:rsidR="00232F22" w:rsidRDefault="00232F22" w:rsidP="0009478E">
      <w:pPr>
        <w:spacing w:after="1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78B1D021" w14:textId="77777777" w:rsidR="0009478E" w:rsidRDefault="0009478E" w:rsidP="0009478E">
      <w:pPr>
        <w:spacing w:after="140" w:line="360" w:lineRule="auto"/>
        <w:jc w:val="both"/>
      </w:pPr>
    </w:p>
    <w:p w14:paraId="0B7E07AF" w14:textId="2E022FCC" w:rsidR="0045644A" w:rsidRDefault="00000000" w:rsidP="0009478E">
      <w:pPr>
        <w:pStyle w:val="Ttulo1"/>
        <w:shd w:val="clear" w:color="auto" w:fill="D6E4F0"/>
        <w:spacing w:line="360" w:lineRule="auto"/>
      </w:pPr>
      <w:r>
        <w:lastRenderedPageBreak/>
        <w:t>2</w:t>
      </w:r>
      <w:r w:rsidR="00232F22">
        <w:t>1</w:t>
      </w:r>
      <w:r>
        <w:t>. REFERÊNCIAS TÉCNICAS</w:t>
      </w:r>
    </w:p>
    <w:p w14:paraId="7CF97C2B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• BR-EMSmt-v.2021-m — UFRJ / </w:t>
      </w:r>
      <w:proofErr w:type="spellStart"/>
      <w:r>
        <w:rPr>
          <w:rFonts w:ascii="Arial" w:eastAsia="Arial" w:hAnsi="Arial" w:cs="Arial"/>
          <w:sz w:val="22"/>
          <w:szCs w:val="22"/>
        </w:rPr>
        <w:t>FenaSeguro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Tábua de mortalidade do mercado segurador brasileiro (masculina).</w:t>
      </w:r>
    </w:p>
    <w:p w14:paraId="0A1D7549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• Álvaro Vindas — Tábua de entrada em invalidez — América Latina.</w:t>
      </w:r>
    </w:p>
    <w:p w14:paraId="27292825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• Moser, E. — Tábua de morbidez (dias de afastamento por doença/ano).</w:t>
      </w:r>
    </w:p>
    <w:p w14:paraId="70F5D6E0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• Ferreira, P.P. — Modelos de Precificação e Ruína para Seguros de Curto Prazo.</w:t>
      </w:r>
    </w:p>
    <w:p w14:paraId="22413B80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• Resolução CNSP nº 117/2004 e legislação SUSEP vigente.</w:t>
      </w:r>
    </w:p>
    <w:p w14:paraId="3B94552C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• IBA — Instituto Brasileiro de Atuária — Práticas atuariais recomendadas.</w:t>
      </w:r>
    </w:p>
    <w:p w14:paraId="44945140" w14:textId="77777777" w:rsidR="0045644A" w:rsidRDefault="00000000" w:rsidP="0009478E">
      <w:pPr>
        <w:spacing w:after="14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sz w:val="22"/>
          <w:szCs w:val="22"/>
        </w:rPr>
        <w:t>CNseg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FenaSeguro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BRP (Birô de Riscos Pessoais) — recomendado para revisões futuras.</w:t>
      </w:r>
    </w:p>
    <w:sectPr w:rsidR="0045644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B53AD" w14:textId="77777777" w:rsidR="00FA6E16" w:rsidRDefault="00FA6E16">
      <w:r>
        <w:separator/>
      </w:r>
    </w:p>
  </w:endnote>
  <w:endnote w:type="continuationSeparator" w:id="0">
    <w:p w14:paraId="663334C4" w14:textId="77777777" w:rsidR="00FA6E16" w:rsidRDefault="00FA6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67ED0" w14:textId="2937D295" w:rsidR="0045644A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>Tábuas: BR-EMS 2021 | Álvaro Vindas | Moser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A8912" w14:textId="77777777" w:rsidR="00FA6E16" w:rsidRDefault="00FA6E16">
      <w:r>
        <w:separator/>
      </w:r>
    </w:p>
  </w:footnote>
  <w:footnote w:type="continuationSeparator" w:id="0">
    <w:p w14:paraId="458B74EA" w14:textId="77777777" w:rsidR="00FA6E16" w:rsidRDefault="00FA6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2EF5" w14:textId="77777777" w:rsidR="0045644A" w:rsidRDefault="00000000">
    <w:pPr>
      <w:jc w:val="right"/>
    </w:pPr>
    <w:r>
      <w:rPr>
        <w:rFonts w:ascii="Arial" w:eastAsia="Arial" w:hAnsi="Arial" w:cs="Arial"/>
        <w:color w:val="888888"/>
        <w:sz w:val="16"/>
        <w:szCs w:val="16"/>
      </w:rPr>
      <w:t>NTA — VIDA CAPITAL GLOBAL | STG SEGUROS S.A. | Versão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0A35"/>
    <w:multiLevelType w:val="hybridMultilevel"/>
    <w:tmpl w:val="73608F00"/>
    <w:lvl w:ilvl="0" w:tplc="6C9405D4">
      <w:start w:val="1"/>
      <w:numFmt w:val="bullet"/>
      <w:lvlText w:val="●"/>
      <w:lvlJc w:val="left"/>
      <w:pPr>
        <w:ind w:left="720" w:hanging="360"/>
      </w:pPr>
    </w:lvl>
    <w:lvl w:ilvl="1" w:tplc="F43417C6">
      <w:start w:val="1"/>
      <w:numFmt w:val="bullet"/>
      <w:lvlText w:val="○"/>
      <w:lvlJc w:val="left"/>
      <w:pPr>
        <w:ind w:left="1440" w:hanging="360"/>
      </w:pPr>
    </w:lvl>
    <w:lvl w:ilvl="2" w:tplc="55DEC112">
      <w:start w:val="1"/>
      <w:numFmt w:val="bullet"/>
      <w:lvlText w:val="■"/>
      <w:lvlJc w:val="left"/>
      <w:pPr>
        <w:ind w:left="2160" w:hanging="360"/>
      </w:pPr>
    </w:lvl>
    <w:lvl w:ilvl="3" w:tplc="5D70F43E">
      <w:start w:val="1"/>
      <w:numFmt w:val="bullet"/>
      <w:lvlText w:val="●"/>
      <w:lvlJc w:val="left"/>
      <w:pPr>
        <w:ind w:left="2880" w:hanging="360"/>
      </w:pPr>
    </w:lvl>
    <w:lvl w:ilvl="4" w:tplc="8E4A5206">
      <w:start w:val="1"/>
      <w:numFmt w:val="bullet"/>
      <w:lvlText w:val="○"/>
      <w:lvlJc w:val="left"/>
      <w:pPr>
        <w:ind w:left="3600" w:hanging="360"/>
      </w:pPr>
    </w:lvl>
    <w:lvl w:ilvl="5" w:tplc="485EA11E">
      <w:start w:val="1"/>
      <w:numFmt w:val="bullet"/>
      <w:lvlText w:val="■"/>
      <w:lvlJc w:val="left"/>
      <w:pPr>
        <w:ind w:left="4320" w:hanging="360"/>
      </w:pPr>
    </w:lvl>
    <w:lvl w:ilvl="6" w:tplc="86F26638">
      <w:start w:val="1"/>
      <w:numFmt w:val="bullet"/>
      <w:lvlText w:val="●"/>
      <w:lvlJc w:val="left"/>
      <w:pPr>
        <w:ind w:left="5040" w:hanging="360"/>
      </w:pPr>
    </w:lvl>
    <w:lvl w:ilvl="7" w:tplc="D5D0333E">
      <w:start w:val="1"/>
      <w:numFmt w:val="bullet"/>
      <w:lvlText w:val="●"/>
      <w:lvlJc w:val="left"/>
      <w:pPr>
        <w:ind w:left="5760" w:hanging="360"/>
      </w:pPr>
    </w:lvl>
    <w:lvl w:ilvl="8" w:tplc="5C0CC47E">
      <w:start w:val="1"/>
      <w:numFmt w:val="bullet"/>
      <w:lvlText w:val="●"/>
      <w:lvlJc w:val="left"/>
      <w:pPr>
        <w:ind w:left="6480" w:hanging="360"/>
      </w:pPr>
    </w:lvl>
  </w:abstractNum>
  <w:num w:numId="1" w16cid:durableId="472867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44A"/>
    <w:rsid w:val="0009478E"/>
    <w:rsid w:val="000B20B6"/>
    <w:rsid w:val="001D37AD"/>
    <w:rsid w:val="00232F22"/>
    <w:rsid w:val="0045644A"/>
    <w:rsid w:val="005916DD"/>
    <w:rsid w:val="00B738EA"/>
    <w:rsid w:val="00C00CBF"/>
    <w:rsid w:val="00FA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F6062"/>
  <w15:docId w15:val="{8A300300-B490-4897-BFFC-195CE427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rFonts w:ascii="Arial" w:eastAsia="Arial" w:hAnsi="Arial" w:cs="Arial"/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rFonts w:ascii="Arial" w:eastAsia="Arial" w:hAnsi="Arial" w:cs="Arial"/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rFonts w:ascii="Arial" w:eastAsia="Arial" w:hAnsi="Arial" w:cs="Arial"/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9478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478E"/>
  </w:style>
  <w:style w:type="paragraph" w:styleId="Rodap">
    <w:name w:val="footer"/>
    <w:basedOn w:val="Normal"/>
    <w:link w:val="RodapChar"/>
    <w:uiPriority w:val="99"/>
    <w:unhideWhenUsed/>
    <w:rsid w:val="0009478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94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2097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NTA Vida Capital Global 2026 v2</vt:lpstr>
    </vt:vector>
  </TitlesOfParts>
  <Company/>
  <LinksUpToDate>false</LinksUpToDate>
  <CharactersWithSpaces>13395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NTA Vida Capital Global 2026 v2</dc:title>
  <dc:creator>jardel@companyprime.com.br</dc:creator>
  <cp:lastModifiedBy>Jardel  Monti</cp:lastModifiedBy>
  <cp:revision>8</cp:revision>
  <dcterms:created xsi:type="dcterms:W3CDTF">2026-09-04T14:35:00Z</dcterms:created>
  <dcterms:modified xsi:type="dcterms:W3CDTF">2026-09-04T14:55:00Z</dcterms:modified>
</cp:coreProperties>
</file>