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spacing w:lineRule="auto" w:line="360"/>
        <w:jc w:val="center"/>
        <w:rPr>
          <w:lang w:val="pt-BR" w:eastAsia="zh-CN" w:bidi="hi-IN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pt-BR" w:eastAsia="zh-CN" w:bidi="hi-IN"/>
        </w:rPr>
        <w:t>PONTIFÍCIA UNIVERSIDADE CATÓLICA DE MINAS GERAIS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PUC Minas Virtual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Pós-graduação </w:t>
      </w: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Lato Sensu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em Cibersegurança e Governança de Dados</w:t>
        <w:br/>
      </w:r>
    </w:p>
    <w:p>
      <w:pPr>
        <w:pStyle w:val="normal1"/>
        <w:spacing w:lineRule="auto" w:line="240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40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40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40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480"/>
        <w:jc w:val="center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eastAsia="Times New Roman" w:cs="Times New Roman" w:ascii="Times New Roman" w:hAnsi="Times New Roman"/>
          <w:sz w:val="38"/>
          <w:szCs w:val="38"/>
          <w:lang w:val="pt-BR" w:eastAsia="zh-CN" w:bidi="hi-IN"/>
        </w:rPr>
        <w:t>Projeto</w:t>
      </w:r>
      <w:r>
        <w:rPr>
          <w:rFonts w:eastAsia="Times New Roman" w:cs="Times New Roman" w:ascii="Times New Roman" w:hAnsi="Times New Roman"/>
          <w:sz w:val="38"/>
          <w:szCs w:val="38"/>
        </w:rPr>
        <w:t xml:space="preserve"> Integrado</w:t>
      </w:r>
    </w:p>
    <w:p>
      <w:pPr>
        <w:pStyle w:val="normal1"/>
        <w:spacing w:lineRule="auto" w:line="480"/>
        <w:jc w:val="center"/>
        <w:rPr>
          <w:lang w:val="pt-BR"/>
        </w:rPr>
      </w:pPr>
      <w:r>
        <w:rPr>
          <w:rFonts w:eastAsia="Times New Roman" w:cs="Times New Roman" w:ascii="Times New Roman" w:hAnsi="Times New Roman"/>
          <w:sz w:val="38"/>
          <w:szCs w:val="38"/>
          <w:lang w:val="pt-BR"/>
        </w:rPr>
        <w:t>Relatório Técnico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eastAsia="Times New Roman" w:cs="Times New Roman" w:ascii="Times New Roman" w:hAnsi="Times New Roman"/>
          <w:sz w:val="38"/>
          <w:szCs w:val="38"/>
        </w:rPr>
      </w:r>
    </w:p>
    <w:p>
      <w:pPr>
        <w:pStyle w:val="normal1"/>
        <w:spacing w:lineRule="auto" w:line="240" w:before="72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40" w:before="72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40" w:before="72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Fabrício De Andrade Araújo</w:t>
      </w:r>
    </w:p>
    <w:p>
      <w:pPr>
        <w:pStyle w:val="normal1"/>
        <w:spacing w:lineRule="auto" w:line="240" w:before="60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60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 w:before="600" w:after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Brasil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Março 2026</w:t>
      </w:r>
    </w:p>
    <w:p>
      <w:pPr>
        <w:pStyle w:val="Subtitle"/>
        <w:spacing w:lineRule="auto" w:line="240" w:before="480" w:after="480"/>
        <w:jc w:val="both"/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</w:rPr>
      </w:pPr>
      <w:bookmarkStart w:id="0" w:name="_3znysh7"/>
      <w:bookmarkEnd w:id="0"/>
      <w:r>
        <w:rPr>
          <w:rFonts w:eastAsia="Times New Roman" w:cs="Times New Roman" w:ascii="Times New Roman" w:hAnsi="Times New Roman"/>
          <w:b/>
          <w:i/>
          <w:color w:val="000000"/>
          <w:sz w:val="28"/>
          <w:szCs w:val="28"/>
        </w:rPr>
        <w:t>Sumário</w:t>
      </w:r>
    </w:p>
    <w:p>
      <w:pPr>
        <w:pStyle w:val="normal1"/>
        <w:tabs>
          <w:tab w:val="clear" w:pos="720"/>
          <w:tab w:val="right" w:pos="8630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80" w:after="0"/>
            <w:ind w:hanging="0" w:start="0"/>
            <w:rPr>
              <w:rFonts w:ascii="Times New Roman" w:hAnsi="Times New Roman" w:eastAsia="Times New Roman" w:cs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Fonts w:eastAsia="Times New Roman" w:cs="Times New Roman" w:ascii="Times New Roman" w:hAnsi="Times New Roman"/>
              <w:sz w:val="20"/>
              <w:szCs w:val="20"/>
            </w:rPr>
            <w:instrText xml:space="preserve"> TOC \o "1-9" \h</w:instrText>
          </w:r>
          <w:r>
            <w:rPr>
              <w:rFonts w:eastAsia="Times New Roman" w:cs="Times New Roman" w:ascii="Times New Roman" w:hAnsi="Times New Roman"/>
              <w:sz w:val="20"/>
              <w:szCs w:val="20"/>
            </w:rPr>
            <w:fldChar w:fldCharType="separate"/>
          </w:r>
          <w:r>
            <w:rPr>
              <w:rFonts w:eastAsia="Times New Roman" w:cs="Times New Roman" w:ascii="Times New Roman" w:hAnsi="Times New Roman"/>
              <w:sz w:val="20"/>
              <w:szCs w:val="20"/>
            </w:rPr>
            <w:t xml:space="preserve">1. </w:t>
          </w:r>
          <w:hyperlink w:anchor="_3j2qqm3">
            <w:r>
              <w:rPr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Introdução</w:t>
            </w:r>
          </w:hyperlink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0"/>
            <w:ind w:hanging="0" w:start="0"/>
            <w:rPr>
              <w:rFonts w:ascii="Times New Roman" w:hAnsi="Times New Roman" w:eastAsia="Times New Roman" w:cs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2. </w:t>
          </w:r>
          <w:hyperlink w:anchor="_1y810tw">
            <w:r>
              <w:rPr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Cronograma do Trabalho</w:t>
            </w:r>
          </w:hyperlink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  <w:t>5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0"/>
            <w:ind w:hanging="0" w:start="0"/>
            <w:rPr>
              <w:rFonts w:ascii="Times New Roman" w:hAnsi="Times New Roman" w:eastAsia="Times New Roman" w:cs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3. </w:t>
          </w:r>
          <w:hyperlink w:anchor="_hnwtkf59ov7w">
            <w:r>
              <w:rPr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Definição conceitual da solução</w:t>
            </w:r>
          </w:hyperlink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  <w:t>6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0"/>
            <w:ind w:hanging="0" w:start="0"/>
            <w:rPr>
              <w:rFonts w:ascii="Times New Roman" w:hAnsi="Times New Roman" w:eastAsia="Times New Roman" w:cs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4. </w:t>
          </w:r>
          <w:hyperlink w:anchor="_2bn6wsx">
            <w:r>
              <w:rPr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Matriz de Risco e Controles de Segurança da Informação</w:t>
            </w:r>
          </w:hyperlink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</w: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7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0"/>
            <w:ind w:hanging="0" w:start="0"/>
            <w:rPr>
              <w:rFonts w:ascii="Times New Roman" w:hAnsi="Times New Roman" w:eastAsia="Times New Roman" w:cs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5. </w:t>
          </w:r>
          <w:hyperlink w:anchor="_3o7alnk">
            <w:r>
              <w:rPr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Arquitetura de Segurança da Informação</w:t>
            </w:r>
          </w:hyperlink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</w: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8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0"/>
            <w:ind w:hanging="0" w:start="0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anchor="_e5i8jpt7dog4">
            <w:r>
              <w:rPr>
                <w:rStyle w:val="IndexLink"/>
                <w:rFonts w:eastAsia="Times New Roman" w:cs="Times New Roman" w:ascii="Times New Roman" w:hAnsi="Times New Roman"/>
                <w:sz w:val="20"/>
                <w:szCs w:val="20"/>
              </w:rPr>
              <w:t>5.1. Estratégia de solução e Modelagem</w:t>
            </w:r>
          </w:hyperlink>
          <w:r>
            <w:rPr>
              <w:rFonts w:eastAsia="Times New Roman" w:cs="Times New Roman" w:ascii="Times New Roman" w:hAnsi="Times New Roman"/>
              <w:sz w:val="20"/>
              <w:szCs w:val="20"/>
            </w:rPr>
            <w:tab/>
          </w:r>
          <w:r>
            <w:rPr>
              <w:rFonts w:eastAsia="Times New Roman" w:cs="Times New Roman" w:ascii="Times New Roman" w:hAnsi="Times New Roman"/>
              <w:sz w:val="20"/>
              <w:szCs w:val="20"/>
            </w:rPr>
            <w:t>8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0"/>
            <w:ind w:hanging="0" w:start="0"/>
            <w:rPr>
              <w:rFonts w:ascii="Times New Roman" w:hAnsi="Times New Roman" w:eastAsia="Times New Roman" w:cs="Times New Roman"/>
              <w:sz w:val="20"/>
              <w:szCs w:val="20"/>
            </w:rPr>
          </w:pPr>
          <w:hyperlink w:anchor="_8a5vy6qoxgra">
            <w:r>
              <w:rPr>
                <w:rStyle w:val="IndexLink"/>
                <w:rFonts w:eastAsia="Times New Roman" w:cs="Times New Roman" w:ascii="Times New Roman" w:hAnsi="Times New Roman"/>
                <w:sz w:val="20"/>
                <w:szCs w:val="20"/>
              </w:rPr>
              <w:t>5.2. Prova de conceito (POC)</w:t>
            </w:r>
          </w:hyperlink>
          <w:r>
            <w:rPr>
              <w:rFonts w:eastAsia="Times New Roman" w:cs="Times New Roman" w:ascii="Times New Roman" w:hAnsi="Times New Roman"/>
              <w:sz w:val="20"/>
              <w:szCs w:val="20"/>
            </w:rPr>
            <w:tab/>
          </w:r>
          <w:r>
            <w:rPr>
              <w:rFonts w:eastAsia="Times New Roman" w:cs="Times New Roman" w:ascii="Times New Roman" w:hAnsi="Times New Roman"/>
              <w:sz w:val="20"/>
              <w:szCs w:val="20"/>
            </w:rPr>
            <w:t>8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0"/>
            <w:ind w:hanging="0" w:start="0"/>
            <w:rPr>
              <w:rFonts w:ascii="Times New Roman" w:hAnsi="Times New Roman" w:eastAsia="Times New Roman" w:cs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 w:ascii="Times New Roman" w:hAnsi="Times New Roman"/>
              <w:sz w:val="20"/>
              <w:szCs w:val="20"/>
            </w:rPr>
            <w:t xml:space="preserve">6. </w:t>
          </w:r>
          <w:hyperlink w:anchor="_4qpx2m6pc2sp">
            <w:r>
              <w:rPr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Resultado e Análise Crítica</w:t>
            </w:r>
          </w:hyperlink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</w: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1</w:t>
          </w: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2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0"/>
            <w:ind w:hanging="0" w:start="0"/>
            <w:rPr>
              <w:rFonts w:ascii="Times New Roman" w:hAnsi="Times New Roman" w:eastAsia="Times New Roman" w:cs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7. </w:t>
          </w:r>
          <w:hyperlink w:anchor="_vx1227">
            <w:r>
              <w:rPr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Conclusão</w:t>
            </w:r>
          </w:hyperlink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</w: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1</w:t>
          </w:r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4</w:t>
          </w:r>
        </w:p>
        <w:p>
          <w:pPr>
            <w:pStyle w:val="normal1"/>
            <w:tabs>
              <w:tab w:val="clear" w:pos="720"/>
              <w:tab w:val="right" w:pos="9360" w:leader="none"/>
            </w:tabs>
            <w:spacing w:lineRule="auto" w:line="240" w:before="200" w:after="80"/>
            <w:ind w:hanging="0" w:start="0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hyperlink w:anchor="_3fwokq0">
            <w:r>
              <w:rPr>
                <w:rStyle w:val="IndexLink"/>
                <w:rFonts w:eastAsia="Times New Roman" w:cs="Times New Roman" w:ascii="Times New Roman" w:hAnsi="Times New Roman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Referências</w:t>
            </w:r>
          </w:hyperlink>
          <w:r>
            <w:rPr>
              <w:rFonts w:eastAsia="Times New Roman" w:cs="Times New Roman" w:ascii="Times New Roman" w:hAnsi="Times New Roman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 xml:space="preserve"> &amp; Apêndice</w:t>
          </w:r>
          <w:r>
            <w:rPr>
              <w:rFonts w:eastAsia="Times New Roman" w:cs="Times New Roman" w:ascii="Times New Roman" w:hAnsi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ab/>
          </w:r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1</w:t>
          </w:r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6</w:t>
          </w:r>
          <w:r>
            <w:rPr>
              <w:rFonts w:eastAsia="Times New Roman" w:cs="Times New Roman" w:ascii="Times New Roman" w:hAnsi="Times New Roman"/>
              <w:b w:val="false"/>
              <w:bCs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keepLines/>
        <w:spacing w:lineRule="auto" w:line="240" w:before="8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keepLines w:val="false"/>
        <w:numPr>
          <w:ilvl w:val="1"/>
          <w:numId w:val="1"/>
        </w:numPr>
        <w:spacing w:lineRule="auto" w:line="240" w:before="0" w:after="24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1" w:name="_3j2qqm3"/>
      <w:bookmarkEnd w:id="1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Introdução</w:t>
      </w:r>
    </w:p>
    <w:p>
      <w:pPr>
        <w:pStyle w:val="normal1"/>
        <w:spacing w:lineRule="auto" w:line="360" w:before="280" w:after="280"/>
        <w:ind w:firstLine="709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 computação em nuvem tornou-se a espinha dorsal de inúmeras organizações, permitindo escalabilidade e inovação em ritmo acelerado. Entretanto, esse cenário também expandiu a superfície de ataque para cibercriminosos. De acordo com o relatório da SonicWall (2023), as tentativas de ataques a ambientes cloud aumentaram 48% em relação ao ano anterior. Nesse contexto, a capacidade de responder rápida e eficazmente a incidentes de segurança é crítica para a continuidade dos negócios e proteção de dados sensíveis. O </w:t>
      </w:r>
      <w:r>
        <w:rPr>
          <w:rStyle w:val="Emphasis"/>
          <w:rFonts w:eastAsia="Times New Roman" w:cs="Times New Roman" w:ascii="Times New Roman" w:hAnsi="Times New Roman"/>
          <w:sz w:val="24"/>
          <w:szCs w:val="24"/>
        </w:rPr>
        <w:t>National Institute of Standards and Technology</w:t>
      </w:r>
      <w:r>
        <w:rPr>
          <w:rFonts w:eastAsia="Times New Roman" w:cs="Times New Roman" w:ascii="Times New Roman" w:hAnsi="Times New Roman"/>
          <w:sz w:val="24"/>
          <w:szCs w:val="24"/>
        </w:rPr>
        <w:t> (NIST) desenvolveu o </w:t>
      </w:r>
      <w:r>
        <w:rPr>
          <w:rStyle w:val="Emphasis"/>
          <w:rFonts w:eastAsia="Times New Roman" w:cs="Times New Roman" w:ascii="Times New Roman" w:hAnsi="Times New Roman"/>
          <w:sz w:val="24"/>
          <w:szCs w:val="24"/>
        </w:rPr>
        <w:t>Cybersecurity Framework</w:t>
      </w:r>
      <w:r>
        <w:rPr>
          <w:rFonts w:eastAsia="Times New Roman" w:cs="Times New Roman" w:ascii="Times New Roman" w:hAnsi="Times New Roman"/>
          <w:sz w:val="24"/>
          <w:szCs w:val="24"/>
        </w:rPr>
        <w:t> (CSF), que organiza as atividades de segurança em cinco funções: Identificar, Proteger, Detectar, Responder e Recuperar. Este trabalho concentra-se na função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Responder</w:t>
      </w:r>
      <w:r>
        <w:rPr>
          <w:rFonts w:eastAsia="Times New Roman" w:cs="Times New Roman" w:ascii="Times New Roman" w:hAnsi="Times New Roman"/>
          <w:sz w:val="24"/>
          <w:szCs w:val="24"/>
        </w:rPr>
        <w:t>, aplicada a ambientes Amazon Web Services (AWS).</w:t>
      </w:r>
    </w:p>
    <w:p>
      <w:pPr>
        <w:pStyle w:val="normal1"/>
        <w:spacing w:lineRule="auto" w:line="360" w:before="280" w:after="280"/>
        <w:ind w:firstLine="709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Quando uma instância EC2 é comprometida, seja por exploração de vulnerabilidade zero-day, vazamento de credenciais ou atividade maliciosa interna, a equipe de segurança precisa agir imediatamente para conter o dano, coletar evidências forenses e restaurar a operação. No entanto, procedimentos manuais são lentos, propensos a erros e podem permitir que o atacante apague rastros ou agrave o ataque. A falta de automação na fase de resposta pode resultar em perda de provas digitais voláteis (como a memória RAM), exposição prolongada de dados e prejuízos financeiros e reputacionais significativos. O problema central é: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como garantir uma resposta a incidentes em instâncias EC2 que seja rápida, padronizada e forensicamente sólida, minimizando a intervenção manual?</w:t>
      </w:r>
    </w:p>
    <w:p>
      <w:pPr>
        <w:pStyle w:val="normal1"/>
        <w:spacing w:lineRule="auto" w:line="360" w:before="280" w:after="280"/>
        <w:ind w:firstLine="709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 motivação para este trabalho reside na necessidade prática de reduzir o </w:t>
      </w:r>
      <w:r>
        <w:rPr>
          <w:rStyle w:val="Emphasis"/>
          <w:rFonts w:eastAsia="Times New Roman" w:cs="Times New Roman" w:ascii="Times New Roman" w:hAnsi="Times New Roman"/>
          <w:sz w:val="24"/>
          <w:szCs w:val="24"/>
        </w:rPr>
        <w:t>Mean Time to Respond</w:t>
      </w:r>
      <w:r>
        <w:rPr>
          <w:rFonts w:eastAsia="Times New Roman" w:cs="Times New Roman" w:ascii="Times New Roman" w:hAnsi="Times New Roman"/>
          <w:sz w:val="24"/>
          <w:szCs w:val="24"/>
        </w:rPr>
        <w:t> (MTTR) e de assegurar a integridade das evidências em investigações pós-incidente. Estudos indicam que organizações com capacidade de resposta automatizada economizam, em média, US$ 2,66 milhões por incidente em comparação àquelas que dependem de processos manuais (Ponemon Institute, 2022). Além disso, a adoção de serviços nativos da nuvem (serverless, gerenciados) permite criar soluções de baixo custo e alta confiabilidade, sem a necessidade de infraestrutura adicional. Espera-se que a arquitetura proposta sirva como referência para equipes de segurança que buscam implementar automação em seus planos de resposta a incidentes.</w:t>
      </w:r>
    </w:p>
    <w:p>
      <w:pPr>
        <w:pStyle w:val="normal1"/>
        <w:spacing w:lineRule="auto" w:line="360" w:before="280" w:after="280"/>
        <w:ind w:hanging="0" w:start="0"/>
        <w:jc w:val="start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Objetivo geral: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Apresentar uma arquitetura automatizada para resposta a incidentes de segurança em instâncias Amazon EC2, utilizando serviços nativos da AWS, que permita a coleta de metadados, a aquisição de imagem de memória volátil, a criação de snapshots forenses dos volumes EBS e o encerramento controlado da instância comprometida.</w:t>
      </w:r>
    </w:p>
    <w:p>
      <w:pPr>
        <w:pStyle w:val="normal1"/>
        <w:spacing w:lineRule="auto" w:line="360" w:before="280" w:after="280"/>
        <w:ind w:firstLine="709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Objetivos específicos:</w:t>
      </w:r>
    </w:p>
    <w:p>
      <w:pPr>
        <w:pStyle w:val="normal1"/>
        <w:numPr>
          <w:ilvl w:val="0"/>
          <w:numId w:val="2"/>
        </w:numPr>
        <w:spacing w:lineRule="auto" w:line="360" w:before="280" w:after="2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Desenvolver funções AWS Lambda para orquestrar a coleta de metadados da instância e o acionamento dos processos de resposta.</w:t>
      </w:r>
    </w:p>
    <w:p>
      <w:pPr>
        <w:pStyle w:val="normal1"/>
        <w:numPr>
          <w:ilvl w:val="0"/>
          <w:numId w:val="2"/>
        </w:numPr>
        <w:spacing w:lineRule="auto" w:line="360" w:before="280" w:after="2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Implementar a captura da memória RAM da instância por meio da ferramenta LiME, utilizando AWS Systems Manager (SSM) para execução remota.</w:t>
      </w:r>
    </w:p>
    <w:p>
      <w:pPr>
        <w:pStyle w:val="normal1"/>
        <w:numPr>
          <w:ilvl w:val="0"/>
          <w:numId w:val="2"/>
        </w:numPr>
        <w:spacing w:lineRule="auto" w:line="360" w:before="280" w:after="2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Criar scripts em Terraform para provisionamento da infraestrutura como código (IaC), garantindo reprodutibilidade e versionamento.</w:t>
      </w:r>
    </w:p>
    <w:p>
      <w:pPr>
        <w:pStyle w:val="normal1"/>
        <w:numPr>
          <w:ilvl w:val="0"/>
          <w:numId w:val="2"/>
        </w:numPr>
        <w:spacing w:lineRule="auto" w:line="360" w:before="280" w:after="2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Avaliar a eficácia da solução por meio de uma prova de conceito (POC) em um ambiente controlado.</w:t>
      </w:r>
    </w:p>
    <w:p>
      <w:pPr>
        <w:pStyle w:val="BodyText"/>
        <w:bidi w:val="0"/>
        <w:spacing w:lineRule="auto" w:line="360" w:before="280" w:after="2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</w:r>
      <w:r>
        <w:br w:type="page"/>
      </w:r>
    </w:p>
    <w:p>
      <w:pPr>
        <w:pStyle w:val="Heading2"/>
        <w:keepLines w:val="false"/>
        <w:numPr>
          <w:ilvl w:val="1"/>
          <w:numId w:val="1"/>
        </w:numPr>
        <w:spacing w:lineRule="auto" w:line="240" w:before="0" w:after="24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2" w:name="_1y810tw"/>
      <w:bookmarkEnd w:id="2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Cronograma do Trabalho</w:t>
      </w:r>
    </w:p>
    <w:p>
      <w:pPr>
        <w:pStyle w:val="normal1"/>
        <w:keepLines/>
        <w:spacing w:lineRule="auto" w:line="240"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seguir é apresentado o cronograma proposto para as etapas deste trabalho.</w:t>
      </w:r>
    </w:p>
    <w:p>
      <w:pPr>
        <w:pStyle w:val="normal1"/>
        <w:keepLines/>
        <w:spacing w:lineRule="auto" w:line="240"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872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35"/>
        <w:gridCol w:w="1235"/>
        <w:gridCol w:w="3699"/>
        <w:gridCol w:w="2553"/>
      </w:tblGrid>
      <w:tr>
        <w:trPr>
          <w:trHeight w:val="264" w:hRule="atLeast"/>
        </w:trPr>
        <w:tc>
          <w:tcPr>
            <w:tcW w:w="24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10" w:leader="none"/>
              </w:tabs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Datas</w:t>
            </w:r>
          </w:p>
        </w:tc>
        <w:tc>
          <w:tcPr>
            <w:tcW w:w="369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10" w:leader="none"/>
              </w:tabs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Atividade / Tarefa</w:t>
            </w:r>
          </w:p>
        </w:tc>
        <w:tc>
          <w:tcPr>
            <w:tcW w:w="255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end="71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Produto / Resultado</w:t>
            </w:r>
          </w:p>
        </w:tc>
      </w:tr>
      <w:tr>
        <w:trPr>
          <w:trHeight w:val="264" w:hRule="atLeast"/>
        </w:trPr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De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>Até</w:t>
            </w:r>
          </w:p>
        </w:tc>
        <w:tc>
          <w:tcPr>
            <w:tcW w:w="369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255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19/02/26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20/02/26</w:t>
            </w:r>
          </w:p>
        </w:tc>
        <w:tc>
          <w:tcPr>
            <w:tcW w:w="3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  <w:t xml:space="preserve">1. </w:t>
            </w: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Definição conceitual da solução</w:t>
            </w:r>
          </w:p>
          <w:p>
            <w:pPr>
              <w:pStyle w:val="normal1"/>
              <w:spacing w:lineRule="auto" w:line="240"/>
              <w:ind w:firstLine="5"/>
              <w:rPr>
                <w:rFonts w:ascii="Caladea" w:hAnsi="Caladea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Rascunho do TCC com definição e detalhes da solução.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20/02/26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22/02/26</w:t>
            </w:r>
          </w:p>
        </w:tc>
        <w:tc>
          <w:tcPr>
            <w:tcW w:w="3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  <w:t xml:space="preserve">2. </w:t>
            </w: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Configuração do ambiente de desenvolvimento</w:t>
            </w:r>
          </w:p>
          <w:p>
            <w:pPr>
              <w:pStyle w:val="normal1"/>
              <w:spacing w:lineRule="auto" w:line="240"/>
              <w:ind w:firstLine="5"/>
              <w:rPr>
                <w:rFonts w:ascii="Caladea" w:hAnsi="Caladea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Preparação do ambiente AWS e repositório GitHub com README.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22/02/26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23/02/26</w:t>
            </w:r>
          </w:p>
        </w:tc>
        <w:tc>
          <w:tcPr>
            <w:tcW w:w="3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  <w:t xml:space="preserve">3. </w:t>
            </w: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Desenvolvimento técnico da POC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Desenvolvimento dos códigos com testes funcionais.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24/02/26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25/02/26</w:t>
            </w:r>
          </w:p>
        </w:tc>
        <w:tc>
          <w:tcPr>
            <w:tcW w:w="3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4. Teste, validação e demonstração da POC</w:t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Relatório de testes com evidências da execução.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26/02/26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26/02/26</w:t>
            </w:r>
          </w:p>
        </w:tc>
        <w:tc>
          <w:tcPr>
            <w:tcW w:w="3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5. Revisão e organização dos códigos para Apêndices </w:t>
            </w:r>
          </w:p>
          <w:p>
            <w:pPr>
              <w:pStyle w:val="normal1"/>
              <w:spacing w:lineRule="auto" w:line="240"/>
              <w:ind w:firstLine="5"/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Apêndices A, B, C e D organizados e prontos para anexar.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26/02/26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01/03/26</w:t>
            </w:r>
          </w:p>
        </w:tc>
        <w:tc>
          <w:tcPr>
            <w:tcW w:w="3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  <w:t xml:space="preserve">6. </w:t>
            </w: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Revisão e escrita final do TCC</w:t>
            </w:r>
          </w:p>
          <w:p>
            <w:pPr>
              <w:pStyle w:val="normal1"/>
              <w:spacing w:lineRule="auto" w:line="240"/>
              <w:ind w:firstLine="5"/>
              <w:rPr>
                <w:rFonts w:ascii="Caladea" w:hAnsi="Caladea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TCC completo (seções 1 a 7 + Referências).</w:t>
            </w:r>
          </w:p>
        </w:tc>
      </w:tr>
      <w:tr>
        <w:trPr/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02/03/26</w:t>
            </w:r>
          </w:p>
        </w:tc>
        <w:tc>
          <w:tcPr>
            <w:tcW w:w="12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jc w:val="center"/>
              <w:rPr>
                <w:rFonts w:ascii="Caladea" w:hAnsi="Caladea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02/03/26</w:t>
            </w:r>
          </w:p>
        </w:tc>
        <w:tc>
          <w:tcPr>
            <w:tcW w:w="3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  <w:t xml:space="preserve">7. </w:t>
            </w: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Entrega do TCC à banca</w:t>
            </w:r>
          </w:p>
          <w:p>
            <w:pPr>
              <w:pStyle w:val="normal1"/>
              <w:spacing w:lineRule="auto" w:line="240"/>
              <w:ind w:firstLine="5"/>
              <w:rPr>
                <w:rFonts w:ascii="Caladea" w:hAnsi="Caladea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 w:ascii="Caladea" w:hAnsi="Caladea"/>
                <w:color w:val="000000"/>
                <w:sz w:val="20"/>
                <w:szCs w:val="20"/>
              </w:rPr>
            </w:r>
          </w:p>
        </w:tc>
        <w:tc>
          <w:tcPr>
            <w:tcW w:w="2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firstLine="5"/>
              <w:rPr/>
            </w:pPr>
            <w:r>
              <w:rPr>
                <w:rStyle w:val="Strong"/>
                <w:rFonts w:ascii="Caladea" w:hAnsi="Caladea"/>
                <w:b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TCC finalizado e entregue.</w:t>
            </w:r>
          </w:p>
        </w:tc>
      </w:tr>
    </w:tbl>
    <w:p>
      <w:pPr>
        <w:pStyle w:val="normal1"/>
        <w:spacing w:lineRule="auto" w:line="276" w:before="120" w:after="120"/>
        <w:jc w:val="both"/>
        <w:rPr>
          <w:rFonts w:ascii="Times New Roman" w:hAnsi="Times New Roman" w:eastAsia="Times New Roman" w:cs="Times New Roman"/>
          <w:i/>
          <w:color w:val="ED7D31"/>
          <w:sz w:val="20"/>
          <w:szCs w:val="20"/>
        </w:rPr>
      </w:pPr>
      <w:r>
        <w:rPr>
          <w:rFonts w:eastAsia="Times New Roman" w:cs="Times New Roman" w:ascii="Times New Roman" w:hAnsi="Times New Roman"/>
          <w:i/>
          <w:color w:val="ED7D31"/>
          <w:sz w:val="20"/>
          <w:szCs w:val="20"/>
        </w:rPr>
      </w:r>
    </w:p>
    <w:p>
      <w:pPr>
        <w:pStyle w:val="normal1"/>
        <w:keepLines/>
        <w:spacing w:lineRule="auto" w:line="240"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keepNext w:val="true"/>
        <w:keepLines w:val="false"/>
        <w:widowControl/>
        <w:numPr>
          <w:ilvl w:val="1"/>
          <w:numId w:val="1"/>
        </w:numPr>
        <w:spacing w:lineRule="auto" w:line="240" w:before="0" w:after="240"/>
        <w:ind w:hanging="360" w:start="360" w:end="0"/>
        <w:jc w:val="start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3" w:name="_hnwtkf59ov7w"/>
      <w:bookmarkEnd w:id="3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Definição conceitual da solução</w:t>
      </w:r>
    </w:p>
    <w:p>
      <w:pPr>
        <w:pStyle w:val="normal1"/>
        <w:spacing w:lineRule="auto" w:line="360" w:before="0" w:after="20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360" w:before="0" w:after="20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 solução proposta fundamenta-se nos conceitos de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resposta a incidentes em nuvem</w:t>
      </w:r>
      <w:r>
        <w:rPr>
          <w:rFonts w:eastAsia="Times New Roman" w:cs="Times New Roman" w:ascii="Times New Roman" w:hAnsi="Times New Roman"/>
          <w:sz w:val="24"/>
          <w:szCs w:val="24"/>
        </w:rPr>
        <w:t> e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forense digital</w:t>
      </w:r>
      <w:r>
        <w:rPr>
          <w:rFonts w:eastAsia="Times New Roman" w:cs="Times New Roman" w:ascii="Times New Roman" w:hAnsi="Times New Roman"/>
          <w:sz w:val="24"/>
          <w:szCs w:val="24"/>
        </w:rPr>
        <w:t>. O fluxo de trabalho segue as recomendações do NIST CSF para a função "Responder", especificamente as subcategorias: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RS-AN (Análise)</w:t>
      </w:r>
      <w:r>
        <w:rPr>
          <w:rFonts w:eastAsia="Times New Roman" w:cs="Times New Roman" w:ascii="Times New Roman" w:hAnsi="Times New Roman"/>
          <w:sz w:val="24"/>
          <w:szCs w:val="24"/>
        </w:rPr>
        <w:t>,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RS-MI (Mitigação)</w:t>
      </w:r>
      <w:r>
        <w:rPr>
          <w:rFonts w:eastAsia="Times New Roman" w:cs="Times New Roman" w:ascii="Times New Roman" w:hAnsi="Times New Roman"/>
          <w:sz w:val="24"/>
          <w:szCs w:val="24"/>
        </w:rPr>
        <w:t> e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RS-IM (Melhorias)</w:t>
      </w:r>
      <w:r>
        <w:rPr>
          <w:rFonts w:eastAsia="Times New Roman" w:cs="Times New Roman" w:ascii="Times New Roman" w:hAnsi="Times New Roman"/>
          <w:sz w:val="24"/>
          <w:szCs w:val="24"/>
        </w:rPr>
        <w:t>.</w:t>
      </w:r>
    </w:p>
    <w:p>
      <w:pPr>
        <w:pStyle w:val="normal1"/>
        <w:spacing w:lineRule="auto" w:line="360" w:before="0" w:after="20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 arquitetura emprega exclusivamente serviços gerenciados AWS, alinhando-se às boas práticas de </w:t>
      </w:r>
      <w:r>
        <w:rPr>
          <w:rStyle w:val="Emphasis"/>
          <w:rFonts w:eastAsia="Times New Roman" w:cs="Times New Roman" w:ascii="Times New Roman" w:hAnsi="Times New Roman"/>
          <w:sz w:val="24"/>
          <w:szCs w:val="24"/>
        </w:rPr>
        <w:t>security by design</w:t>
      </w:r>
      <w:r>
        <w:rPr>
          <w:rFonts w:eastAsia="Times New Roman" w:cs="Times New Roman" w:ascii="Times New Roman" w:hAnsi="Times New Roman"/>
          <w:sz w:val="24"/>
          <w:szCs w:val="24"/>
        </w:rPr>
        <w:t> e </w:t>
      </w:r>
      <w:r>
        <w:rPr>
          <w:rStyle w:val="Emphasis"/>
          <w:rFonts w:eastAsia="Times New Roman" w:cs="Times New Roman" w:ascii="Times New Roman" w:hAnsi="Times New Roman"/>
          <w:sz w:val="24"/>
          <w:szCs w:val="24"/>
        </w:rPr>
        <w:t>infrastructure as code</w:t>
      </w:r>
      <w:r>
        <w:rPr>
          <w:rFonts w:eastAsia="Times New Roman" w:cs="Times New Roman" w:ascii="Times New Roman" w:hAnsi="Times New Roman"/>
          <w:sz w:val="24"/>
          <w:szCs w:val="24"/>
        </w:rPr>
        <w:t> (IaC). Os principais componentes conceituais são:</w:t>
      </w:r>
    </w:p>
    <w:p>
      <w:pPr>
        <w:pStyle w:val="normal1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00"/>
        <w:ind w:hanging="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Orquestração serverless (AWS Lambda):</w:t>
      </w:r>
      <w:r>
        <w:rPr>
          <w:rFonts w:eastAsia="Times New Roman" w:cs="Times New Roman" w:ascii="Times New Roman" w:hAnsi="Times New Roman"/>
          <w:sz w:val="24"/>
          <w:szCs w:val="24"/>
        </w:rPr>
        <w:t> As funções Lambda em Python atuam como o "cérebro" da automação, executando tarefas em resposta a um gatilho (ex: notificação de incidente via SNS ou manual). A escolha por Lambda deve-se à sua escalabilidade, baixo custo e integração nativa com outros serviços AWS.</w:t>
      </w:r>
    </w:p>
    <w:p>
      <w:pPr>
        <w:pStyle w:val="normal1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00"/>
        <w:ind w:hanging="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Execução remota na instância (AWS Systems Manager - SSM):</w:t>
      </w:r>
      <w:r>
        <w:rPr>
          <w:rFonts w:eastAsia="Times New Roman" w:cs="Times New Roman" w:ascii="Times New Roman" w:hAnsi="Times New Roman"/>
          <w:sz w:val="24"/>
          <w:szCs w:val="24"/>
        </w:rPr>
        <w:t> O SSM Agent, instalado previamente na instância, permite a execução de comandos sem necessidade de acesso SSH, reduzindo a superfície de exposição. Isso é fundamental para a coleta da memória volátil e para o eventual encerramento da instância.</w:t>
      </w:r>
    </w:p>
    <w:p>
      <w:pPr>
        <w:pStyle w:val="normal1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00"/>
        <w:ind w:hanging="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Aquisição de memória volátil (LiME):</w:t>
      </w:r>
      <w:r>
        <w:rPr>
          <w:rFonts w:eastAsia="Times New Roman" w:cs="Times New Roman" w:ascii="Times New Roman" w:hAnsi="Times New Roman"/>
          <w:sz w:val="24"/>
          <w:szCs w:val="24"/>
        </w:rPr>
        <w:t> A memória RAM contém informações críticas como processos em execução, conexões de rede ativas, chaves de criptografia e possíveis artefatos do atacante. O LiME (Linux Memory Extractor) é um módulo do kernel que permite capturar a memória de forma confiável em sistemas Linux, gerando uma imagem forense.</w:t>
      </w:r>
    </w:p>
    <w:p>
      <w:pPr>
        <w:pStyle w:val="normal1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200"/>
        <w:ind w:hanging="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Infraestrutura como código (Terraform):</w:t>
      </w:r>
      <w:r>
        <w:rPr>
          <w:rFonts w:eastAsia="Times New Roman" w:cs="Times New Roman" w:ascii="Times New Roman" w:hAnsi="Times New Roman"/>
          <w:sz w:val="24"/>
          <w:szCs w:val="24"/>
        </w:rPr>
        <w:t> Todo o ambiente é provisionado via Terraform, permitindo versionamento, revisão e replicação em diferentes contas ou regiões com consistência.</w:t>
      </w:r>
    </w:p>
    <w:p>
      <w:pPr>
        <w:pStyle w:val="normal1"/>
        <w:spacing w:lineRule="auto" w:line="36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combinação desses elementos viabiliza um processo de resposta padronizado, que reduz a intervenção manual e assegura a preservação de evidências para análise forense posterior.</w:t>
      </w:r>
    </w:p>
    <w:p>
      <w:pPr>
        <w:pStyle w:val="normal1"/>
        <w:spacing w:lineRule="auto" w:line="360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keepLines w:val="false"/>
        <w:numPr>
          <w:ilvl w:val="1"/>
          <w:numId w:val="1"/>
        </w:numPr>
        <w:spacing w:lineRule="auto" w:line="240" w:before="240" w:after="24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4" w:name="_2bn6wsx"/>
      <w:bookmarkEnd w:id="4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Matriz de Risco e Controles de Segurança da Informação</w:t>
      </w:r>
    </w:p>
    <w:p>
      <w:pPr>
        <w:pStyle w:val="normal1"/>
        <w:spacing w:lineRule="auto" w:line="360"/>
        <w:ind w:hanging="0" w:star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ind w:hanging="0" w:start="0"/>
        <w:rPr/>
      </w:pPr>
      <w:r>
        <w:rPr/>
      </w:r>
    </w:p>
    <w:tbl>
      <w:tblPr>
        <w:tblW w:w="939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724"/>
        <w:gridCol w:w="2056"/>
        <w:gridCol w:w="2515"/>
        <w:gridCol w:w="1278"/>
        <w:gridCol w:w="1817"/>
      </w:tblGrid>
      <w:tr>
        <w:trPr/>
        <w:tc>
          <w:tcPr>
            <w:tcW w:w="17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7B7B7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color w:val="FFFFFF"/>
              </w:rPr>
            </w:pPr>
            <w:r>
              <w:rPr>
                <w:color w:val="FFFFFF"/>
              </w:rPr>
              <w:t>Risco</w:t>
            </w:r>
          </w:p>
        </w:tc>
        <w:tc>
          <w:tcPr>
            <w:tcW w:w="20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7B7B7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color w:val="FFFFFF"/>
              </w:rPr>
            </w:pPr>
            <w:r>
              <w:rPr>
                <w:color w:val="FFFFFF"/>
              </w:rPr>
              <w:t>Descrição do Risco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7B7B7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color w:val="FFFFFF"/>
              </w:rPr>
            </w:pPr>
            <w:r>
              <w:rPr>
                <w:color w:val="FFFFFF"/>
              </w:rPr>
              <w:t>Prevenção</w:t>
            </w:r>
          </w:p>
        </w:tc>
        <w:tc>
          <w:tcPr>
            <w:tcW w:w="12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7B7B7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color w:val="FFFFFF"/>
              </w:rPr>
            </w:pPr>
            <w:r>
              <w:rPr>
                <w:color w:val="FFFFFF"/>
              </w:rPr>
              <w:t>Nível do risco</w:t>
            </w:r>
          </w:p>
        </w:tc>
        <w:tc>
          <w:tcPr>
            <w:tcW w:w="18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B7B7B7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color w:val="FFFFFF"/>
              </w:rPr>
            </w:pPr>
            <w:r>
              <w:rPr>
                <w:color w:val="FFFFFF"/>
              </w:rPr>
              <w:t>Tratamento/ Resposta (ação perante o risco)</w:t>
            </w:r>
          </w:p>
        </w:tc>
      </w:tr>
      <w:tr>
        <w:trPr/>
        <w:tc>
          <w:tcPr>
            <w:tcW w:w="17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Instância comprometida</w:t>
            </w:r>
          </w:p>
        </w:tc>
        <w:tc>
          <w:tcPr>
            <w:tcW w:w="20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Atacante obtém acesso não autorizado a uma instância EC2, podendo exfiltrar dados, instalar malware ou utilizar o recurso para ataques posteriores.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Hardenização de imagens (AMIs)</w:t>
            </w:r>
          </w:p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Monitoramento com GuardDuty</w:t>
            </w:r>
          </w:p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Princípio do menor privilégio (IAM)</w:t>
            </w:r>
          </w:p>
        </w:tc>
        <w:tc>
          <w:tcPr>
            <w:tcW w:w="12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18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Mitigar (automação proposta)</w:t>
            </w:r>
          </w:p>
        </w:tc>
      </w:tr>
      <w:tr>
        <w:trPr/>
        <w:tc>
          <w:tcPr>
            <w:tcW w:w="17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Perda de evidências voláteis</w:t>
            </w:r>
          </w:p>
        </w:tc>
        <w:tc>
          <w:tcPr>
            <w:tcW w:w="205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Durante a resposta, informações críticas na memória RAM são perdidas se a instância for desligada abruptamente.</w:t>
            </w:r>
          </w:p>
        </w:tc>
        <w:tc>
          <w:tcPr>
            <w:tcW w:w="251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Coleta de memória com LiME antes do término</w:t>
            </w:r>
          </w:p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Execução via SSM para garantir agilidade</w:t>
            </w:r>
          </w:p>
        </w:tc>
        <w:tc>
          <w:tcPr>
            <w:tcW w:w="127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Alto</w:t>
            </w:r>
          </w:p>
        </w:tc>
        <w:tc>
          <w:tcPr>
            <w:tcW w:w="18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Mitigar (POC inclui coleta de RAM)</w:t>
            </w:r>
          </w:p>
        </w:tc>
      </w:tr>
      <w:tr>
        <w:trPr/>
        <w:tc>
          <w:tcPr>
            <w:tcW w:w="172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Falha na execução remota</w:t>
            </w:r>
          </w:p>
        </w:tc>
        <w:tc>
          <w:tcPr>
            <w:tcW w:w="205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 SSM Agent pode estar indisponível (desabilitado pelo atacante ou por falha técnica), impedindo a coleta de memória e comandos de mitigação.</w:t>
            </w:r>
          </w:p>
        </w:tc>
        <w:tc>
          <w:tcPr>
            <w:tcW w:w="25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Monitoramento da saúde do SSM Agent</w:t>
            </w:r>
          </w:p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Redundância com scripts de inicialização (user-data)</w:t>
            </w:r>
          </w:p>
        </w:tc>
        <w:tc>
          <w:tcPr>
            <w:tcW w:w="127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Médio</w:t>
            </w:r>
          </w:p>
        </w:tc>
        <w:tc>
          <w:tcPr>
            <w:tcW w:w="181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Aceitar (plano B manual)</w:t>
            </w:r>
          </w:p>
        </w:tc>
      </w:tr>
      <w:tr>
        <w:trPr/>
        <w:tc>
          <w:tcPr>
            <w:tcW w:w="172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Acesso indevido às evidências</w:t>
            </w:r>
          </w:p>
        </w:tc>
        <w:tc>
          <w:tcPr>
            <w:tcW w:w="205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Evidências armazenadas no S3 podem ser acessadas por pessoas não autorizadas.</w:t>
            </w:r>
          </w:p>
        </w:tc>
        <w:tc>
          <w:tcPr>
            <w:tcW w:w="25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Criptografia KMS</w:t>
            </w:r>
          </w:p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Políticas de bucket restritivas</w:t>
            </w:r>
          </w:p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Logs de acesso (CloudTrail)</w:t>
            </w:r>
          </w:p>
        </w:tc>
        <w:tc>
          <w:tcPr>
            <w:tcW w:w="127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Médio</w:t>
            </w:r>
          </w:p>
        </w:tc>
        <w:tc>
          <w:tcPr>
            <w:tcW w:w="181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Mitigar (controles implementados)</w:t>
            </w:r>
          </w:p>
        </w:tc>
      </w:tr>
      <w:tr>
        <w:trPr/>
        <w:tc>
          <w:tcPr>
            <w:tcW w:w="1724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Custo elevado em cenário de múltiplas instâncias</w:t>
            </w:r>
          </w:p>
        </w:tc>
        <w:tc>
          <w:tcPr>
            <w:tcW w:w="2056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 automação pode gerar custos com Lambda, S3 e snapshots, especialmente se acionada frequentemente.</w:t>
            </w:r>
          </w:p>
        </w:tc>
        <w:tc>
          <w:tcPr>
            <w:tcW w:w="2515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Definição de limites de uso</w:t>
            </w:r>
          </w:p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Exclusão automática de evidências antigas (lifecycle S3)</w:t>
            </w:r>
          </w:p>
        </w:tc>
        <w:tc>
          <w:tcPr>
            <w:tcW w:w="127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Baixo</w:t>
            </w:r>
          </w:p>
        </w:tc>
        <w:tc>
          <w:tcPr>
            <w:tcW w:w="181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Monitorar e ajustar</w:t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keepLines w:val="false"/>
        <w:numPr>
          <w:ilvl w:val="1"/>
          <w:numId w:val="1"/>
        </w:numPr>
        <w:spacing w:lineRule="auto" w:line="240" w:before="0" w:after="24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5" w:name="_3o7alnk"/>
      <w:bookmarkEnd w:id="5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Arquitetura de Segurança da Informação</w:t>
      </w:r>
    </w:p>
    <w:p>
      <w:pPr>
        <w:pStyle w:val="Heading2"/>
        <w:keepLines w:val="false"/>
        <w:spacing w:lineRule="auto" w:line="240" w:before="240" w:after="240"/>
        <w:ind w:firstLine="720" w:start="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6" w:name="_e5i8jpt7dog4"/>
      <w:bookmarkEnd w:id="6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5.1. Estratégia de solução e Modelagem</w:t>
      </w:r>
    </w:p>
    <w:p>
      <w:pPr>
        <w:pStyle w:val="normal1"/>
        <w:spacing w:lineRule="auto" w:line="276" w:before="0" w:after="200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before="0" w:after="200"/>
        <w:ind w:firstLine="72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Para a prova de conceito (POC), optou-se por implementar dois controles críticos: a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coleta de metadados da instância</w:t>
      </w:r>
      <w:r>
        <w:rPr>
          <w:rFonts w:eastAsia="Times New Roman" w:cs="Times New Roman" w:ascii="Times New Roman" w:hAnsi="Times New Roman"/>
          <w:sz w:val="24"/>
          <w:szCs w:val="24"/>
        </w:rPr>
        <w:t> e a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aquisição da memória RAM</w:t>
      </w:r>
      <w:r>
        <w:rPr>
          <w:rFonts w:eastAsia="Times New Roman" w:cs="Times New Roman" w:ascii="Times New Roman" w:hAnsi="Times New Roman"/>
          <w:sz w:val="24"/>
          <w:szCs w:val="24"/>
        </w:rPr>
        <w:t>. Esses controles foram priorizados porque: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00"/>
        <w:ind w:firstLine="72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Os metadados da instância (como ID, IPs, volumes anexados) são essenciais para o contexto do incidente e para ações subsequentes (ex: identificar outros recursos afetados).</w:t>
      </w:r>
    </w:p>
    <w:p>
      <w:pPr>
        <w:pStyle w:val="normal1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00"/>
        <w:ind w:firstLine="72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A memória RAM é a fonte mais rica de evidências voláteis, mas também a mais frágil; qualquer atraso ou desligamento a destrói permanentemente.</w:t>
      </w:r>
    </w:p>
    <w:p>
      <w:pPr>
        <w:pStyle w:val="normal1"/>
        <w:spacing w:before="0" w:after="200"/>
        <w:ind w:firstLine="720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 estratégia adotada é a de </w:t>
      </w: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orquestração descentralizada</w:t>
      </w:r>
      <w:r>
        <w:rPr>
          <w:rFonts w:eastAsia="Times New Roman" w:cs="Times New Roman" w:ascii="Times New Roman" w:hAnsi="Times New Roman"/>
          <w:sz w:val="24"/>
          <w:szCs w:val="24"/>
        </w:rPr>
        <w:t>: cada função Lambda é responsável por uma tarefa específica, comunicando-se com os serviços AWS via SDK (boto3). Isso facilita a manutenção e a evolução independente de cada etapa.</w:t>
      </w:r>
    </w:p>
    <w:p>
      <w:pPr>
        <w:pStyle w:val="normal1"/>
        <w:spacing w:before="0" w:after="200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O modelo de implementação segue o fluxo: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00"/>
        <w:ind w:firstLine="72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Gatilho:</w:t>
      </w:r>
      <w:r>
        <w:rPr>
          <w:rFonts w:eastAsia="Times New Roman" w:cs="Times New Roman" w:ascii="Times New Roman" w:hAnsi="Times New Roman"/>
          <w:sz w:val="24"/>
          <w:szCs w:val="24"/>
        </w:rPr>
        <w:t> Acionamento manual ou via evento (ex: SNS) informando o </w:t>
      </w:r>
      <w:r>
        <w:rPr>
          <w:rStyle w:val="SourceText"/>
          <w:rFonts w:eastAsia="Times New Roman" w:cs="Times New Roman" w:ascii="Times New Roman" w:hAnsi="Times New Roman"/>
          <w:sz w:val="24"/>
          <w:szCs w:val="24"/>
        </w:rPr>
        <w:t>instance_id</w:t>
      </w:r>
      <w:r>
        <w:rPr>
          <w:rFonts w:eastAsia="Times New Roman" w:cs="Times New Roman" w:ascii="Times New Roman" w:hAnsi="Times New Roman"/>
          <w:sz w:val="24"/>
          <w:szCs w:val="24"/>
        </w:rPr>
        <w:t> comprometida.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00"/>
        <w:ind w:firstLine="72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Coleta de metadados:</w:t>
      </w:r>
      <w:r>
        <w:rPr>
          <w:rFonts w:eastAsia="Times New Roman" w:cs="Times New Roman" w:ascii="Times New Roman" w:hAnsi="Times New Roman"/>
          <w:sz w:val="24"/>
          <w:szCs w:val="24"/>
        </w:rPr>
        <w:t> Lambda </w:t>
      </w:r>
      <w:r>
        <w:rPr>
          <w:rStyle w:val="SourceText"/>
          <w:rFonts w:eastAsia="Times New Roman" w:cs="Times New Roman" w:ascii="Times New Roman" w:hAnsi="Times New Roman"/>
          <w:sz w:val="24"/>
          <w:szCs w:val="24"/>
        </w:rPr>
        <w:t>get_ec2_metadata</w:t>
      </w:r>
      <w:r>
        <w:rPr>
          <w:rFonts w:eastAsia="Times New Roman" w:cs="Times New Roman" w:ascii="Times New Roman" w:hAnsi="Times New Roman"/>
          <w:sz w:val="24"/>
          <w:szCs w:val="24"/>
        </w:rPr>
        <w:t> consulta a API EC2 e salva um JSON no bucket S3.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00"/>
        <w:ind w:firstLine="72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Aquisição de memória:</w:t>
      </w:r>
      <w:r>
        <w:rPr>
          <w:rFonts w:eastAsia="Times New Roman" w:cs="Times New Roman" w:ascii="Times New Roman" w:hAnsi="Times New Roman"/>
          <w:sz w:val="24"/>
          <w:szCs w:val="24"/>
        </w:rPr>
        <w:t> Lambda invoca um comando SSM que executa o script de carregamento do LiME e upload da imagem de memória para o bucket.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00"/>
        <w:ind w:firstLine="72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Snapshot EBS:</w:t>
      </w:r>
      <w:r>
        <w:rPr>
          <w:rFonts w:eastAsia="Times New Roman" w:cs="Times New Roman" w:ascii="Times New Roman" w:hAnsi="Times New Roman"/>
          <w:sz w:val="24"/>
          <w:szCs w:val="24"/>
        </w:rPr>
        <w:t> Realiza snapshot dos volumes para análise forense posterior.</w:t>
      </w:r>
    </w:p>
    <w:p>
      <w:pPr>
        <w:pStyle w:val="normal1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00"/>
        <w:ind w:firstLine="720" w:start="0"/>
        <w:jc w:val="both"/>
        <w:rPr/>
      </w:pPr>
      <w:r>
        <w:rPr>
          <w:rStyle w:val="Strong"/>
          <w:rFonts w:eastAsia="Times New Roman" w:cs="Times New Roman" w:ascii="Times New Roman" w:hAnsi="Times New Roman"/>
          <w:sz w:val="24"/>
          <w:szCs w:val="24"/>
        </w:rPr>
        <w:t>Término da instância:</w:t>
      </w:r>
      <w:r>
        <w:rPr>
          <w:rFonts w:eastAsia="Times New Roman" w:cs="Times New Roman" w:ascii="Times New Roman" w:hAnsi="Times New Roman"/>
          <w:sz w:val="24"/>
          <w:szCs w:val="24"/>
        </w:rPr>
        <w:t> Após a coleta bem-sucedida, a instância é terminada para interromper o ataque.</w:t>
      </w:r>
    </w:p>
    <w:p>
      <w:pPr>
        <w:pStyle w:val="normal1"/>
        <w:spacing w:before="0" w:after="200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keepLines w:val="false"/>
        <w:spacing w:lineRule="auto" w:line="240" w:before="240" w:after="240"/>
        <w:ind w:firstLine="720" w:start="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7" w:name="_8a5vy6qoxgra"/>
      <w:bookmarkEnd w:id="7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5.2. Prova de conceito (POC)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POC foi desenvolvida em um ambiente sandbox AWS, utilizando uma instância Amazon Linux 2023. Abaixo, detalha-se a implementação de cada componente. Os códigos completos (Terraform e Python) estão disponíveis no apêndice.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a) Coleta de Metadados (medida técnica)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Utilizou-se uma função Lambda escrita em Python, com a seguinte lógica: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Obtém o instance_id e o nome do bucket a partir de variáveis de ambiente.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Chama ec2.describe_instances() para recuperar os metadados completos.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Converte campos de data/hora para string (serialização JSON).</w:t>
      </w:r>
    </w:p>
    <w:p>
      <w:pPr>
        <w:pStyle w:val="normal1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Faz upload do JSON para o S3 com a chave &lt;instance_id&gt;.json.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Política IAM associada: permissões ec2:DescribeInstances e s3:PutObject.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Benefícios: rápida execução (&lt; 2 segundos), baixo custo, nenhuma interferência na instância.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b) Aquisição de Memória RAM (medida técnica)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Esta etapa exigiu preparação prévia na instância-alvo e pode ser realizada de duas formas:</w:t>
      </w:r>
    </w:p>
    <w:p>
      <w:pPr>
        <w:pStyle w:val="normal1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Instalação do LiME via script de user-data (ou AMI customizada).</w:t>
      </w:r>
    </w:p>
    <w:p>
      <w:pPr>
        <w:pStyle w:val="normal1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Instalação e configuração do SSM Agent.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before="0" w:after="200"/>
        <w:jc w:val="both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 fluxo automatizado: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Uma Lambda (ou comando manual) invoca o SSM com o documento personalizado GetMemoryDocument.</w:t>
      </w:r>
    </w:p>
    <w:p>
      <w:pPr>
        <w:pStyle w:val="normal1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</w:t>
      </w:r>
      <w:r>
        <w:rPr>
          <w:rFonts w:eastAsia="Times New Roman" w:cs="Times New Roman" w:ascii="Times New Roman" w:hAnsi="Times New Roman"/>
          <w:sz w:val="24"/>
          <w:szCs w:val="24"/>
        </w:rPr>
        <w:t>O documento executa os comandos:</w:t>
      </w:r>
    </w:p>
    <w:p>
      <w:pPr>
        <w:pStyle w:val="normal1"/>
        <w:numPr>
          <w:ilvl w:val="0"/>
          <w:numId w:val="0"/>
        </w:numPr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bash</w:t>
      </w:r>
    </w:p>
    <w:p>
      <w:pPr>
        <w:pStyle w:val="normal1"/>
        <w:numPr>
          <w:ilvl w:val="0"/>
          <w:numId w:val="0"/>
        </w:numPr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sudo insmod /path/to/lime.ko "path=./ramdata.mem format=raw"</w:t>
      </w:r>
    </w:p>
    <w:p>
      <w:pPr>
        <w:pStyle w:val="normal1"/>
        <w:numPr>
          <w:ilvl w:val="0"/>
          <w:numId w:val="0"/>
        </w:numPr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aws s3 cp ramdata.mem s3://&lt;bucket&gt;/&lt;instance_id&gt;/ramdata.mem --sse aws:kms --kms-key-id &lt;key_id&gt;</w:t>
      </w:r>
    </w:p>
    <w:p>
      <w:pPr>
        <w:pStyle w:val="normal1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imagem de memória é enviada diretamente ao S3.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Desafios encontrados:</w:t>
      </w:r>
    </w:p>
    <w:p>
      <w:pPr>
        <w:pStyle w:val="normal1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A versão do kernel deve ser compatível com o módulo LiME compilado.</w:t>
      </w:r>
    </w:p>
    <w:p>
      <w:pPr>
        <w:pStyle w:val="normal1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O SSM Agent precisa estar ativo e com permissões de escrita no S3 (via instance profile).</w:t>
      </w:r>
    </w:p>
    <w:p>
      <w:pPr>
        <w:pStyle w:val="normal1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O comando insmod requer privilégios de root; o SSM executa como root por padrão.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Custos de implantação: A Lambda e o SSM têm custo irrisório (centavos por milhares de execuções). O armazenamento no S3 é o principal custo, que pode ser gerenciado com políticas de ciclo de vida.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c) Infraestrutura como Código (Terraform)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Todo o ambiente foi definido em arquivos .tf, permitindo recriação consistente. Os principais recursos criados foram:</w:t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Bucket S3 com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política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de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bloqueio de acesso público e criptografia KMS.</w:t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Chave KMS simétrica.</w:t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Funções IAM e perfis de instância.</w:t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Funções Lambda.</w:t>
      </w:r>
    </w:p>
    <w:p>
      <w:pPr>
        <w:pStyle w:val="normal1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0" w:star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Documento SSM personalizado.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before="0" w:after="200"/>
        <w:jc w:val="both"/>
        <w:rPr>
          <w:b/>
          <w:bCs/>
        </w:rPr>
      </w:pPr>
      <w:r>
        <w:rPr>
          <w:b/>
          <w:bCs/>
        </w:rPr>
        <w:t>Demonstração da POC: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Uma vez construída a POC e executadas as funções Lambda, podemos apresentar o cesto S3 com os seguintes artefatos: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079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Snapshot do volume EBS: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2509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Excerto da Metadata: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4762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Por fim nosso arquivo mais sensível, que nesse caso possui o tamanho considerável de quase 1GB, no mundo real tamanhos maiores demandam </w:t>
      </w:r>
      <w:r>
        <w:rPr>
          <w:rFonts w:eastAsia="Times New Roman" w:cs="Times New Roman" w:ascii="Times New Roman" w:hAnsi="Times New Roman"/>
          <w:sz w:val="24"/>
          <w:szCs w:val="24"/>
          <w:lang w:val="pt-BR" w:eastAsia="zh-CN" w:bidi="hi-IN"/>
        </w:rPr>
        <w:t>cuidado.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079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Excerto da RAM: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2641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(Nota: Link para o repo do código completo no Apêndice)</w:t>
      </w:r>
    </w:p>
    <w:p>
      <w:pPr>
        <w:pStyle w:val="normal1"/>
        <w:spacing w:before="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keepLines w:val="false"/>
        <w:numPr>
          <w:ilvl w:val="1"/>
          <w:numId w:val="1"/>
        </w:numPr>
        <w:spacing w:lineRule="auto" w:line="240" w:before="240" w:after="24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8" w:name="_4qpx2m6pc2sp"/>
      <w:bookmarkEnd w:id="8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Resultado e Análise Crítica</w:t>
      </w:r>
    </w:p>
    <w:p>
      <w:pPr>
        <w:pStyle w:val="normal1"/>
        <w:keepLines/>
        <w:spacing w:lineRule="auto" w:line="360" w:before="8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POC foi executada com sucesso em um cenário controlado, simulando uma instância comprometida. Os resultados são apresentados no quadro resumo abaixo:</w:t>
      </w:r>
    </w:p>
    <w:p>
      <w:pPr>
        <w:pStyle w:val="normal1"/>
        <w:keepLines/>
        <w:spacing w:lineRule="auto" w:line="360" w:before="8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W w:w="84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3"/>
        <w:gridCol w:w="5529"/>
      </w:tblGrid>
      <w:tr>
        <w:trPr/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Ponto avaliado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Descrição</w:t>
            </w:r>
          </w:p>
        </w:tc>
      </w:tr>
      <w:tr>
        <w:trPr/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Coleta de metadados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A Lambda executou em 1,8 segundos, salvando um arquivo JSON com 45 campos da instância (IPs, volumes, tags, etc.) no bucket. O conteúdo estava íntegro e legível.</w:t>
            </w:r>
          </w:p>
        </w:tc>
      </w:tr>
      <w:tr>
        <w:trPr/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Aquisição de memória RAM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 xml:space="preserve">O comando SSM foi bem-sucedido: o LiME carregou o módulo e gerou um arquivo de 976 MB (equivalente à RAM alocada). O upload para o S3 demorou 2 minutos. O conteúdo é misto binário e texto, pode ser analisado com ferramentas forenses específicas ou analisando o arquivo cru. </w:t>
            </w:r>
          </w:p>
        </w:tc>
      </w:tr>
      <w:tr>
        <w:trPr/>
        <w:tc>
          <w:tcPr>
            <w:tcW w:w="2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Tempo total de resposta</w:t>
            </w:r>
          </w:p>
        </w:tc>
        <w:tc>
          <w:tcPr>
            <w:tcW w:w="55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Do acionamento manual até o término da instância (incluindo coleta e upload) foi de 3 minutos. Em um processo manual, esse tempo seria de horas, com alto risco de perda de evidências.</w:t>
            </w:r>
          </w:p>
        </w:tc>
      </w:tr>
      <w:tr>
        <w:trPr/>
        <w:tc>
          <w:tcPr>
            <w:tcW w:w="29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Confiabilidade</w:t>
            </w:r>
          </w:p>
        </w:tc>
        <w:tc>
          <w:tcPr>
            <w:tcW w:w="5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A solução mostrou-se confiável nas 10 execuções de teste. Porém, observou-se que se o SSM Agent estivesse parado ou removido, a etapa de memória falharia. Isso é uma limitação inerente ao uso do SSM.</w:t>
            </w:r>
          </w:p>
        </w:tc>
      </w:tr>
      <w:tr>
        <w:trPr/>
        <w:tc>
          <w:tcPr>
            <w:tcW w:w="29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Custo por incidente</w:t>
            </w:r>
          </w:p>
        </w:tc>
        <w:tc>
          <w:tcPr>
            <w:tcW w:w="5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Estima-se um custo médio de US$ 0,05 por incidente (considerando execução Lambda, comando SSM, armazenamento de 1 GB no S3 por 30 dias). Valor muito inferior ao custo de horas de trabalho de uma equipe de resposta.</w:t>
            </w:r>
          </w:p>
        </w:tc>
      </w:tr>
      <w:tr>
        <w:trPr/>
        <w:tc>
          <w:tcPr>
            <w:tcW w:w="29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Complexidade de implementação</w:t>
            </w:r>
          </w:p>
        </w:tc>
        <w:tc>
          <w:tcPr>
            <w:tcW w:w="552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Lines/>
              <w:spacing w:lineRule="auto" w:line="360" w:before="80" w:after="80"/>
              <w:jc w:val="both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A necessidade de preparar as instâncias com LiME e SSM Agent antecipadamente aumenta a complexidade. Idealmente, isso deve ser incluído no processo de hardening de imagens (AMIs) e orquestrado via ferramentas de configuração (Ansible, etc.).</w:t>
            </w:r>
          </w:p>
        </w:tc>
      </w:tr>
    </w:tbl>
    <w:p>
      <w:pPr>
        <w:pStyle w:val="normal1"/>
        <w:keepLines/>
        <w:spacing w:lineRule="auto" w:line="360" w:before="80" w:after="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Análise crítica dos pontos positivos e negativos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Pontos positivos: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1"/>
        </w:numPr>
        <w:spacing w:lineRule="auto" w:line="24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Automação completa: Reduz drasticamente o tempo de resposta e elimina erros manuais.</w:t>
      </w:r>
    </w:p>
    <w:p>
      <w:pPr>
        <w:pStyle w:val="normal1"/>
        <w:numPr>
          <w:ilvl w:val="0"/>
          <w:numId w:val="0"/>
        </w:numPr>
        <w:spacing w:lineRule="auto" w:line="24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1"/>
        </w:numPr>
        <w:spacing w:lineRule="auto" w:line="24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Preservação forense: Garante a coleta de evidências voláteis, frequentemente negligenciadas.</w:t>
      </w:r>
    </w:p>
    <w:p>
      <w:pPr>
        <w:pStyle w:val="normal1"/>
        <w:numPr>
          <w:ilvl w:val="0"/>
          <w:numId w:val="0"/>
        </w:numPr>
        <w:spacing w:lineRule="auto" w:line="24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1"/>
        </w:numPr>
        <w:spacing w:lineRule="auto" w:line="24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Baixo custo: Uso de serviços serverless e gerenciados torna a solução acessível.</w:t>
      </w:r>
    </w:p>
    <w:p>
      <w:pPr>
        <w:pStyle w:val="normal1"/>
        <w:numPr>
          <w:ilvl w:val="0"/>
          <w:numId w:val="0"/>
        </w:numPr>
        <w:spacing w:lineRule="auto" w:line="24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1"/>
        </w:numPr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Reprodutibilidade: O uso de Terraform permite replicar a arquitetura em múltiplos ambientes.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Pontos negativos e limitações: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2"/>
        </w:numPr>
        <w:spacing w:lineRule="auto" w:line="24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Dependência do SSM Agent: Se o atacante desabilitar o agente, a coleta de memória falha. Uma possível melhoria seria utilizar um mecanismo de shutdown hook do sistema operacional, mas isso exigiria configuração no SO.</w:t>
      </w:r>
    </w:p>
    <w:p>
      <w:pPr>
        <w:pStyle w:val="normal1"/>
        <w:numPr>
          <w:ilvl w:val="0"/>
          <w:numId w:val="0"/>
        </w:numPr>
        <w:spacing w:lineRule="auto" w:line="24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2"/>
        </w:numPr>
        <w:spacing w:lineRule="auto" w:line="24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Tamanho da imagem de memória: Em instâncias com muita RAM, o arquivo pode ser grande (ex: 32 GB), aumentando o tempo de upload, custo de armazenamento além de aumentar as chances do atacante reagir. Seria interessante implementar compressão ou transferência para um ambiente de análise forense.</w:t>
      </w:r>
    </w:p>
    <w:p>
      <w:pPr>
        <w:pStyle w:val="normal1"/>
        <w:numPr>
          <w:ilvl w:val="0"/>
          <w:numId w:val="0"/>
        </w:numPr>
        <w:spacing w:lineRule="auto" w:line="24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2"/>
        </w:numPr>
        <w:spacing w:lineRule="auto" w:line="240"/>
        <w:rPr/>
      </w:pPr>
      <w:r>
        <w:rPr>
          <w:rFonts w:eastAsia="Times New Roman" w:cs="Times New Roman" w:ascii="Times New Roman" w:hAnsi="Times New Roman"/>
          <w:sz w:val="24"/>
          <w:szCs w:val="24"/>
        </w:rPr>
        <w:t>Foco apenas na instância: A solução não trata do comprometimento de outros serviços AWS (ex: bucket S3, funções Lambda). Isso exige que a organização tenha outros planos de resposta para esses cenários.</w:t>
      </w:r>
    </w:p>
    <w:p>
      <w:pPr>
        <w:pStyle w:val="normal1"/>
        <w:numPr>
          <w:ilvl w:val="0"/>
          <w:numId w:val="0"/>
        </w:numPr>
        <w:spacing w:lineRule="auto" w:line="24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12"/>
        </w:numPr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Não abrange a fase de recuperação: O trabalho termina com a instância encerrada; a recuperação do serviço (ex: a partir de backup) fica fora do escopo.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Heading2"/>
        <w:keepNext w:val="false"/>
        <w:keepLines w:val="false"/>
        <w:widowControl w:val="false"/>
        <w:numPr>
          <w:ilvl w:val="1"/>
          <w:numId w:val="1"/>
        </w:numPr>
        <w:tabs>
          <w:tab w:val="clear" w:pos="720"/>
          <w:tab w:val="left" w:pos="284" w:leader="none"/>
        </w:tabs>
        <w:spacing w:lineRule="auto" w:line="240" w:before="0" w:after="60"/>
        <w:jc w:val="both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9" w:name="_vx1227"/>
      <w:bookmarkEnd w:id="9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Conclusão</w:t>
      </w:r>
    </w:p>
    <w:p>
      <w:pPr>
        <w:pStyle w:val="normal1"/>
        <w:keepLines/>
        <w:spacing w:lineRule="auto" w:line="240" w:before="8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Lines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Lições aprendidas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A coleta de memória é o elo mais fraco e mais crítico: A dependência de um módulo do kernel (LiME) e do SSM Agent exige planejamento prévio e monitoramento constante. Aprendemos que a preparação da imagem da instância (AMI) deve incluir essas ferramentas para garantir que estejam disponíveis no momento do incidente.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A automação serverless é viável e eficiente: O uso de Lambda e SSM permitiu construir uma solução robusta com poucas linhas de código e sem infraestrutura dedicada. A integração nativa com o ecossistema AWS simplifica a orquestração.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O custo não é uma barreira: Para a maioria das organizações, o custo por incidente é insignificante comparado ao dano potencial de um ataque prolongado. Portanto, implementar essa automação é um investimento com retorno garantido.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A documentação como código (IaC) é essencial: O Terraform não só provisionou os recursos, mas também serviu como documentação viva da arquitetura, facilitando revisões e futuras modificações.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Possibilidades de melhoria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Integração com serviços de detecção: A solução poderia ser acionada automaticamente por alertas do Amazon GuardDuty ou AWS Security Hub, eliminando a necessidade de gatilho manual.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Análise forense automatizada: Após a coleta das evidências, poderia-se acionar uma ferramenta de análise (ex: AWS EMR executando scripts de parsing) para gerar relatórios preliminares.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Suporte a múltiplos sistemas operacionais: Expandir a POC para instâncias Windows, utilizando FTK Imager ou outra ferramenta compatível.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Orquestração com AWS Step Functions: Para fluxos mais complexos, o Step Functions poderia coordenar as Lambdas com tratamento de erros e retries, aumentando a robustez.</w:t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1"/>
        <w:spacing w:lineRule="auto" w:line="360" w:before="80" w:after="8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Conclui-se que a arquitetura proposta atende aos objetivos definidos, oferecendo uma resposta automatizada, rápida e forensicamente sólida para incidentes em instâncias EC2. O trabalho serve como guia prático para profissionais de segurança que desejam elevar o nível de maturidade de seus processos de resposta a incidentes na nuvem.</w:t>
      </w:r>
      <w:r>
        <w:br w:type="page"/>
      </w:r>
    </w:p>
    <w:p>
      <w:pPr>
        <w:pStyle w:val="Heading2"/>
        <w:keepLines w:val="false"/>
        <w:spacing w:lineRule="auto" w:line="240" w:before="0" w:after="240"/>
        <w:ind w:hanging="0" w:start="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10" w:name="_3fwokq0"/>
      <w:bookmarkEnd w:id="10"/>
      <w:r>
        <w:rPr>
          <w:rFonts w:eastAsia="Times New Roman" w:cs="Times New Roman" w:ascii="Times New Roman" w:hAnsi="Times New Roman"/>
          <w:b/>
          <w:i/>
          <w:sz w:val="28"/>
          <w:szCs w:val="28"/>
        </w:rPr>
        <w:t>Referências</w:t>
      </w:r>
    </w:p>
    <w:p>
      <w:pPr>
        <w:pStyle w:val="normal1"/>
        <w:spacing w:lineRule="auto" w:line="360" w:before="280" w:after="280"/>
        <w:ind w:hanging="0" w:start="0"/>
        <w:jc w:val="both"/>
        <w:rPr/>
      </w:pPr>
      <w:hyperlink r:id="rId7">
        <w:r>
          <w:rPr>
            <w:rStyle w:val="Hyperlink"/>
            <w:rFonts w:eastAsia="Times New Roman" w:cs="Times New Roman" w:ascii="Times New Roman" w:hAnsi="Times New Roman"/>
            <w:sz w:val="16"/>
            <w:szCs w:val="16"/>
          </w:rPr>
          <w:t>AMAZON WEB SERVICES. AWS Lambda Developer Guide. Disponível em: https://docs.aws.amazon.com/lambda/. Acesso em: 10 fev. 2025.</w:t>
        </w:r>
      </w:hyperlink>
    </w:p>
    <w:p>
      <w:pPr>
        <w:pStyle w:val="normal1"/>
        <w:spacing w:lineRule="auto" w:line="360" w:before="280" w:after="280"/>
        <w:ind w:hanging="0" w:start="0"/>
        <w:jc w:val="both"/>
        <w:rPr/>
      </w:pPr>
      <w:r>
        <w:rPr>
          <w:rStyle w:val="Hyperlink"/>
          <w:rFonts w:eastAsia="Times New Roman" w:cs="Times New Roman" w:ascii="Times New Roman" w:hAnsi="Times New Roman"/>
          <w:sz w:val="16"/>
          <w:szCs w:val="16"/>
        </w:rPr>
        <w:t>AMAZON WEB SERVICES. AWS Systems Manager User Guide. Disponível em: https://docs.aws.amazon.com/systems-manager/. Acesso em: 10 fev. 2025.</w:t>
      </w:r>
    </w:p>
    <w:p>
      <w:pPr>
        <w:pStyle w:val="normal1"/>
        <w:spacing w:lineRule="auto" w:line="360" w:before="280" w:after="280"/>
        <w:ind w:hanging="0" w:start="0"/>
        <w:jc w:val="both"/>
        <w:rPr/>
      </w:pPr>
      <w:r>
        <w:rPr>
          <w:rStyle w:val="Hyperlink"/>
          <w:rFonts w:eastAsia="Times New Roman" w:cs="Times New Roman" w:ascii="Times New Roman" w:hAnsi="Times New Roman"/>
          <w:sz w:val="16"/>
          <w:szCs w:val="16"/>
        </w:rPr>
        <w:t>HASHICORP. Terraform AWS Provider Documentation. Disponível em: https://registry.terraform.io/providers/hashicorp/aws/latest/docs. Acesso em: 10 fev. 2025.</w:t>
      </w:r>
    </w:p>
    <w:p>
      <w:pPr>
        <w:pStyle w:val="normal1"/>
        <w:spacing w:lineRule="auto" w:line="360" w:before="280" w:after="280"/>
        <w:ind w:hanging="0" w:start="0"/>
        <w:jc w:val="both"/>
        <w:rPr/>
      </w:pPr>
      <w:r>
        <w:rPr>
          <w:rStyle w:val="Hyperlink"/>
          <w:rFonts w:eastAsia="Times New Roman" w:cs="Times New Roman" w:ascii="Times New Roman" w:hAnsi="Times New Roman"/>
          <w:sz w:val="16"/>
          <w:szCs w:val="16"/>
        </w:rPr>
        <w:t>NATIONAL INSTITUTE OF STANDARDS AND TECHNOLOGY. Framework for Improving Critical Infrastructure Cybersecurity (NIST CSF). Versão 1.1. Gaithersburg, 2018. Disponível em: https://nvlpubs.nist.gov/nistpubs/CSWP/NIST.CSWP.04162018.pdf. Acesso em: 10 fev. 2025.</w:t>
      </w:r>
    </w:p>
    <w:p>
      <w:pPr>
        <w:pStyle w:val="normal1"/>
        <w:spacing w:lineRule="auto" w:line="360" w:before="280" w:after="280"/>
        <w:ind w:hanging="0" w:start="0"/>
        <w:jc w:val="both"/>
        <w:rPr/>
      </w:pPr>
      <w:r>
        <w:rPr>
          <w:rStyle w:val="Hyperlink"/>
          <w:rFonts w:eastAsia="Times New Roman" w:cs="Times New Roman" w:ascii="Times New Roman" w:hAnsi="Times New Roman"/>
          <w:sz w:val="16"/>
          <w:szCs w:val="16"/>
        </w:rPr>
        <w:t>PONEMON INSTITUTE. Cost of a Data Breach Report 2022. IBM Security, 2022.</w:t>
      </w:r>
    </w:p>
    <w:p>
      <w:pPr>
        <w:pStyle w:val="normal1"/>
        <w:spacing w:lineRule="auto" w:line="360" w:before="280" w:after="280"/>
        <w:ind w:hanging="0" w:start="0"/>
        <w:jc w:val="both"/>
        <w:rPr/>
      </w:pPr>
      <w:r>
        <w:rPr>
          <w:rStyle w:val="Hyperlink"/>
          <w:rFonts w:eastAsia="Times New Roman" w:cs="Times New Roman" w:ascii="Times New Roman" w:hAnsi="Times New Roman"/>
          <w:sz w:val="16"/>
          <w:szCs w:val="16"/>
        </w:rPr>
        <w:t>SONICWALL. SonicWall Cyber Threat Report 2023. Disponível em: https://www.sonicwall.com/medialibrary/en/white-paper/2023-cyber-threat-report.pdf. Acesso em: 10 fev. 2025.</w:t>
      </w:r>
    </w:p>
    <w:p>
      <w:pPr>
        <w:pStyle w:val="normal1"/>
        <w:spacing w:lineRule="auto" w:line="360" w:before="280" w:after="280"/>
        <w:ind w:hanging="0" w:start="0"/>
        <w:jc w:val="both"/>
        <w:rPr/>
      </w:pPr>
      <w:r>
        <w:rPr>
          <w:rStyle w:val="Hyperlink"/>
          <w:rFonts w:eastAsia="Times New Roman" w:cs="Times New Roman" w:ascii="Times New Roman" w:hAnsi="Times New Roman"/>
          <w:sz w:val="16"/>
          <w:szCs w:val="16"/>
        </w:rPr>
        <w:t>504ENSICS LABS. LiME - Linux Memory Extractor. GitHub. Disponível em: https://github.com/504ensicsLabs/LiME. Acesso em: 10 fev. 2025.</w:t>
      </w:r>
    </w:p>
    <w:p>
      <w:pPr>
        <w:pStyle w:val="normal1"/>
        <w:spacing w:lineRule="auto" w:line="360" w:before="280" w:after="2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Heading2"/>
        <w:keepLines w:val="false"/>
        <w:spacing w:lineRule="auto" w:line="240" w:before="0" w:after="240"/>
        <w:ind w:hanging="0" w:start="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bookmarkStart w:id="11" w:name="_3fwokq0_Copy_1"/>
      <w:bookmarkEnd w:id="11"/>
      <w:r>
        <w:rPr>
          <w:b/>
          <w:i/>
          <w:sz w:val="28"/>
          <w:szCs w:val="28"/>
        </w:rPr>
        <w:t>Apêndice</w:t>
      </w:r>
    </w:p>
    <w:p>
      <w:pPr>
        <w:pStyle w:val="normal1"/>
        <w:spacing w:lineRule="auto" w:line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rPr/>
      </w:pPr>
      <w:r>
        <w:rPr/>
        <w:t>https://github.com/fabricioaait/TCC-PUCMinas/tree/main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adea">
    <w:altName w:val="Cambria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Chapter 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360" w:hanging="360"/>
      </w:pPr>
      <w:rPr/>
    </w:lvl>
    <w:lvl w:ilvl="2">
      <w:start w:val="1"/>
      <w:numFmt w:val="decimal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60"/>
  <w:displayBackgroundShape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github.com/504ensicsLabs/LiME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1314</TotalTime>
  <Application>LibreOffice/25.8.4.2$Linux_X86_64 LibreOffice_project/580$Build-2</Application>
  <AppVersion>15.0000</AppVersion>
  <Pages>17</Pages>
  <Words>2681</Words>
  <Characters>15428</Characters>
  <CharactersWithSpaces>17881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2026-02-28T18:33:35Z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