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ESTIMATE</w:t>
      </w:r>
    </w:p>
    <w:p>
      <w:pPr>
        <w:spacing w:after="240" w:before="0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Stone Floor Restoration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Client: </w:t>
      </w:r>
      <w:r>
        <w:rPr>
          <w:rFonts w:ascii="Arial" w:cs="Arial" w:eastAsia="Arial" w:hAnsi="Arial"/>
          <w:sz w:val="21"/>
          <w:szCs w:val="21"/>
        </w:rPr>
        <w:t xml:space="preserve">Tyler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Location: </w:t>
      </w:r>
      <w:r>
        <w:rPr>
          <w:rFonts w:ascii="Arial" w:cs="Arial" w:eastAsia="Arial" w:hAnsi="Arial"/>
          <w:sz w:val="21"/>
          <w:szCs w:val="21"/>
        </w:rPr>
        <w:t xml:space="preserve">7 South Cabin Road, American Spirit, Yellowstone Club, Big Sky, MT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 for: </w:t>
      </w:r>
      <w:r>
        <w:rPr>
          <w:rFonts w:ascii="Arial" w:cs="Arial" w:eastAsia="Arial" w:hAnsi="Arial"/>
          <w:sz w:val="21"/>
          <w:szCs w:val="21"/>
        </w:rPr>
        <w:t xml:space="preserve">30 days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area: </w:t>
      </w:r>
      <w:r>
        <w:rPr>
          <w:rFonts w:ascii="Arial" w:cs="Arial" w:eastAsia="Arial" w:hAnsi="Arial"/>
          <w:sz w:val="21"/>
          <w:szCs w:val="21"/>
        </w:rPr>
        <w:t xml:space="preserve">530 sq ft natural stone floor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Scope of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Protect surrounding surfaces, walls, and fixtures.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Remove existing grout from all joints.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Re-grout all joints with the selected grout system (see options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Hand-scrub deep cleaning of the entire stone surface using a pH-neutral, stone-safe cleaner and soft brushes. No machines are used, to protect the natural stone. Includes haze removal, rinsing, and drying.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Apply J26WB sealer (2 coats) per manufacturer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Install flexible polyurethane sealant at perimeter and movement joints.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Final cleanup and disposal of all debris.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Grout 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280"/>
        <w:gridCol w:w="19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Grout System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Price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Option 1 — Recommended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Premium Epoxy Grout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(Laticrete SpectraLOCK Pro or equivalent)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highest-performance option. 100% waterproof, stain-resistant, and highly resistant to snow, freeze-thaw cycles, and de-icing salts. Built to last for many years.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$11,430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Option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Standard Sanded Grout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(Quikrete or equivalent)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 option. Not freeze-thaw rated, so periodic re-sealing is recommended to maintain performance.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$8,920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Both options include the full scope of work listed above, all materials, labor, and cleanup.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Price Comparison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 range: </w:t>
      </w:r>
      <w:r>
        <w:rPr>
          <w:rFonts w:ascii="Arial" w:cs="Arial" w:eastAsia="Arial" w:hAnsi="Arial"/>
          <w:sz w:val="21"/>
          <w:szCs w:val="21"/>
        </w:rPr>
        <w:t xml:space="preserve">$8,920 – $11,430. </w:t>
      </w:r>
      <w:r>
        <w:rPr>
          <w:rFonts w:ascii="Arial" w:cs="Arial" w:eastAsia="Arial" w:hAnsi="Arial"/>
          <w:sz w:val="21"/>
          <w:szCs w:val="21"/>
        </w:rPr>
        <w:t xml:space="preserve">The difference between the economy option and the recommended premium option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$2,510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0"/>
        <w:gridCol w:w="2100"/>
        <w:gridCol w:w="2100"/>
      </w:tblGrid>
      <w:tr>
        <w:trPr>
          <w:tblHeader/>
        </w:trPr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Price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Difference</w:t>
            </w:r>
          </w:p>
        </w:tc>
      </w:tr>
      <w:tr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Option 2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Standard Sanded Grout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$8,920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Base price</w:t>
            </w:r>
          </w:p>
        </w:tc>
      </w:tr>
      <w:tr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Option 1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Premium Epoxy Grout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$11,430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+$2,510</w:t>
            </w:r>
          </w:p>
        </w:tc>
      </w:tr>
    </w:tbl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Terms &amp;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Estimated duration: 2 working days, plus any cure time required by the grout and sealer manufacturers.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 terms: 50% deposit to schedule, balance upon completion.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Pricing assumes the stone is in sound condition. Repair or replacement of loose or damaged stones, if needed, will be quoted separately.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Foot traffic should be limited for 24–72 hours after sealing.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is scheduled for temperatures above 50 °F (10 °C) to ensure proper curing.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Contractor &amp; Client Approval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Contractor: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Phone / Email: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Selected option: </w:t>
      </w:r>
      <w:r>
        <w:rPr>
          <w:rFonts w:ascii="Arial" w:cs="Arial" w:eastAsia="Arial" w:hAnsi="Arial"/>
          <w:sz w:val="21"/>
          <w:szCs w:val="21"/>
        </w:rPr>
        <w:t xml:space="preserve">☐ Option 1     ☐ Option 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 signature: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2026-10-08T02:23:01.208Z</dcterms:created>
  <dcterms:modified xsi:type="dcterms:W3CDTF">2026-10-08T02:23:01.208Z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