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widowControl/>
        <w:bidi w:val="0"/>
        <w:spacing w:lineRule="auto" w:line="276" w:before="144" w:after="72"/>
        <w:jc w:val="left"/>
        <w:rPr/>
      </w:pPr>
      <w:r>
        <w:rPr/>
        <w:t>Termos de Uso do ExpertZone</w:t>
      </w:r>
    </w:p>
    <w:p>
      <w:pPr>
        <w:pStyle w:val="Ttulo2"/>
        <w:rPr/>
      </w:pPr>
      <w:r>
        <w:rPr/>
      </w:r>
    </w:p>
    <w:p>
      <w:pPr>
        <w:pStyle w:val="Ttulo2"/>
        <w:rPr/>
      </w:pPr>
      <w:r>
        <w:rPr/>
        <w:t>Capítulo 1: Introdução</w:t>
      </w:r>
    </w:p>
    <w:p>
      <w:pPr>
        <w:pStyle w:val="ParagraphTextStyle"/>
        <w:jc w:val="both"/>
        <w:rPr/>
      </w:pPr>
      <w:r>
        <w:rPr/>
        <w:t xml:space="preserve">Este documento regula a relação entre o </w:t>
      </w:r>
      <w:r>
        <w:rPr>
          <w:b/>
          <w:bCs/>
        </w:rPr>
        <w:t>ExpertZone</w:t>
      </w:r>
      <w:r>
        <w:rPr/>
        <w:t xml:space="preserve"> (doravante referido como "Prestador de Serviço") e você, o professor (doravante referido como "Usuário" ou "Cliente"). A relação regida por este instrumento, ou por documento, que por ventura, venha o substituir, permanecerá válida enquanto o cliente utilizar os serviços do ExpertZone.</w:t>
      </w:r>
    </w:p>
    <w:p>
      <w:pPr>
        <w:pStyle w:val="ParagraphTextStyle"/>
        <w:jc w:val="both"/>
        <w:rPr/>
      </w:pPr>
      <w:r>
        <w:rPr/>
        <w:t xml:space="preserve">A prestação do serviço do ExpertZone se inicia a partir da primeira matrícula ativa, cadastrada pelo professor </w:t>
      </w:r>
      <w:r>
        <w:rPr/>
        <w:t>ou confirmada, por ele, a pré-matrícula</w:t>
      </w:r>
      <w:r>
        <w:rPr/>
        <w:t xml:space="preserve">, e se mantém em andamento, enquanto o professor mantiver matrícula ativa </w:t>
      </w:r>
      <w:r>
        <w:rPr/>
        <w:t>em</w:t>
      </w:r>
      <w:r>
        <w:rPr/>
        <w:t xml:space="preserve"> seu perfil. A prestação do serviço é reiniciada quando, uma vez que o professor permaneceu período que compreenda um ou mais mês calendário sem matrícula ativa, o cliente torna a cadastrar matrícula no seu perfil.</w:t>
      </w:r>
    </w:p>
    <w:p>
      <w:pPr>
        <w:pStyle w:val="ParagraphTextStyle"/>
        <w:jc w:val="both"/>
        <w:rPr/>
      </w:pPr>
      <w:r>
        <w:rPr/>
        <w:t xml:space="preserve">Haverá cobrança de tarifas, de acordo com a Tabela Faixas de Tarifas(Capítulo 6 deste documento), da relação entre a quantidade de matrícula e as tarifas a serem cobradas do professor. </w:t>
      </w:r>
    </w:p>
    <w:p>
      <w:pPr>
        <w:pStyle w:val="ParagraphTextStyle"/>
        <w:jc w:val="both"/>
        <w:rPr/>
      </w:pPr>
      <w:r>
        <w:rPr/>
        <w:t>A forma de cobrança deste sistema é por fatura pós-paga, que significa que o professor só paga a fatura do gasto com alunos no mês seguinte ao mês da utilização. A previsão do pagamento da fatura é até todo dia quinze de cada mês.</w:t>
      </w:r>
    </w:p>
    <w:p>
      <w:pPr>
        <w:pStyle w:val="ParagraphTextStyle"/>
        <w:jc w:val="both"/>
        <w:rPr/>
      </w:pPr>
      <w:r>
        <w:rPr/>
        <w:t>O ExpertZone não cadastra e nem matricula aluno no perfil do professor.</w:t>
      </w:r>
    </w:p>
    <w:p>
      <w:pPr>
        <w:pStyle w:val="ParagraphTextStyle"/>
        <w:jc w:val="both"/>
        <w:rPr/>
      </w:pPr>
      <w:r>
        <w:rPr/>
        <w:t>O ExpertZone não oferece nenhum tipo de vantagem, comerciais ou publicitárias, para professores, senão as que o próprio professor obtiver na utilização do serviço à sua disposição.</w:t>
      </w:r>
    </w:p>
    <w:p>
      <w:pPr>
        <w:pStyle w:val="ParagraphTextStyle"/>
        <w:jc w:val="both"/>
        <w:rPr/>
      </w:pPr>
      <w:r>
        <w:rPr/>
        <w:t>O perfil do usuário é todo o conteúdo e dados cadastrais produzidos e alimentados pelo professor.</w:t>
      </w:r>
    </w:p>
    <w:p>
      <w:pPr>
        <w:pStyle w:val="ParagraphTextStyle"/>
        <w:jc w:val="both"/>
        <w:rPr/>
      </w:pPr>
      <w:r>
        <w:rPr/>
        <w:t>O ExpertZone não se responsabiliza pelo prejuízo que o professor tiver no caso de extravio de sua senha pessoal de acesso ao sistema, quer seja por mal uso ou imprudência do próprio cliente.</w:t>
      </w:r>
    </w:p>
    <w:p>
      <w:pPr>
        <w:pStyle w:val="ParagraphTextStyle"/>
        <w:rPr/>
      </w:pPr>
      <w:r>
        <w:rPr/>
      </w:r>
    </w:p>
    <w:p>
      <w:pPr>
        <w:pStyle w:val="Ttulo2"/>
        <w:rPr/>
      </w:pPr>
      <w:r>
        <w:rPr/>
        <w:t>Capítulo 2: Direitos do ExpertZone</w:t>
      </w:r>
    </w:p>
    <w:p>
      <w:pPr>
        <w:pStyle w:val="ParagraphTextStyle"/>
        <w:rPr/>
      </w:pPr>
      <w:r>
        <w:rPr/>
        <w:t>O ExpertZone reserva-se o direito de exercer, conforme acordado entre as partes, o seguinte:</w:t>
      </w:r>
    </w:p>
    <w:p>
      <w:pPr>
        <w:pStyle w:val="ParagraphTextStyle"/>
        <w:numPr>
          <w:ilvl w:val="0"/>
          <w:numId w:val="1"/>
        </w:numPr>
        <w:rPr/>
      </w:pPr>
      <w:r>
        <w:rPr/>
        <w:t>Realizar alteração unilateral, a qualquer momento, de qualquer cláusula deste Termo, desde que da alteração não haja modificação de maneira desvantajosa ao professor no que diz respeito ao valor das tarifas, aos prazos e à política de juros e multa; ou ainda, desde que da alteração não implique em obrigação de fazer ou deixar de fazer algo que possa ensejar aumento da onerosidade ao professor; excetuando-se em qualquer caso, as alterações realizadas entre intervalos superiores a 12(doze) meses;</w:t>
      </w:r>
    </w:p>
    <w:p>
      <w:pPr>
        <w:pStyle w:val="ParagraphTextStyle"/>
        <w:numPr>
          <w:ilvl w:val="0"/>
          <w:numId w:val="1"/>
        </w:numPr>
        <w:rPr/>
      </w:pPr>
      <w:r>
        <w:rPr/>
        <w:t>Quando a modificação de versões dos Termos de Uso incluir as qualquer das situações previstas no item anterior, poderá o ExpertZone alterar automaticamente e unilateralmente os Termos de Uso para nova versão do documento, dando ciência ao cliente com antecedência mínima de 45 dias corridos, desde que, entre a primeira aceitação do Termo ou a última atualização de versões diferentes do Termo, tenha se passado o intervalo de 12(doze) meses;</w:t>
      </w:r>
    </w:p>
    <w:p>
      <w:pPr>
        <w:pStyle w:val="ParagraphTextStyle"/>
        <w:numPr>
          <w:ilvl w:val="0"/>
          <w:numId w:val="1"/>
        </w:numPr>
        <w:rPr/>
      </w:pPr>
      <w:r>
        <w:rPr/>
        <w:t>Reajustar os preços, modificar as quantidades e as Faixas de Tarifas previstos na Tabela de Faixas de Tarifas, anualmente e unilateralmente, respeitado o intervalo de 12(doze) meses entre alterações desse tipo, independentemente de aviso prévio;</w:t>
      </w:r>
    </w:p>
    <w:p>
      <w:pPr>
        <w:pStyle w:val="ParagraphTextStyle"/>
        <w:numPr>
          <w:ilvl w:val="0"/>
          <w:numId w:val="1"/>
        </w:numPr>
        <w:rPr/>
      </w:pPr>
      <w:r>
        <w:rPr/>
        <w:t>Suspender ou mesmo excluir professor que descumprir políticas de privacidade, reiteradamente, a critério exclusivo do ExpertZone;</w:t>
      </w:r>
    </w:p>
    <w:p>
      <w:pPr>
        <w:pStyle w:val="ParagraphTextStyle"/>
        <w:numPr>
          <w:ilvl w:val="0"/>
          <w:numId w:val="1"/>
        </w:numPr>
        <w:rPr/>
      </w:pPr>
      <w:r>
        <w:rPr/>
        <w:t>Bloquear a utilização do sistema pelo professor e seus respectivos alunos, no caso de atraso, maior que 30 dias, no pagamento da fatura;</w:t>
      </w:r>
    </w:p>
    <w:p>
      <w:pPr>
        <w:pStyle w:val="ParagraphTextStyle"/>
        <w:numPr>
          <w:ilvl w:val="0"/>
          <w:numId w:val="1"/>
        </w:numPr>
        <w:rPr/>
      </w:pPr>
      <w:r>
        <w:rPr/>
        <w:t>Limitar que os preços promocionais e isenções obtidos numa campanha não possam ser aproveitados, pelo professor, na atualização automática de 12 meses;</w:t>
      </w:r>
    </w:p>
    <w:p>
      <w:pPr>
        <w:pStyle w:val="ParagraphTextStyle"/>
        <w:numPr>
          <w:ilvl w:val="0"/>
          <w:numId w:val="1"/>
        </w:numPr>
        <w:rPr/>
      </w:pPr>
      <w:r>
        <w:rPr/>
        <w:t>Ter prazo de 72 horas da identificação e diagnóstico do problema, para corrigir falhas de programação no sistema, desde que comunicadas pelo usuário. Passado este prazo, fica o ExpertZone obrigado a promover o desconto proporcional de todo o período de sistema inoperante, mediante requerimento do professor;</w:t>
      </w:r>
    </w:p>
    <w:p>
      <w:pPr>
        <w:pStyle w:val="ParagraphTextStyle"/>
        <w:numPr>
          <w:ilvl w:val="0"/>
          <w:numId w:val="5"/>
        </w:numPr>
        <w:rPr/>
      </w:pPr>
      <w:r>
        <w:rPr/>
        <w:t>Aplicar multa de 2% no caso de atraso no pagamento da fatura;</w:t>
      </w:r>
    </w:p>
    <w:p>
      <w:pPr>
        <w:pStyle w:val="ParagraphTextStyle"/>
        <w:numPr>
          <w:ilvl w:val="0"/>
          <w:numId w:val="1"/>
        </w:numPr>
        <w:rPr/>
      </w:pPr>
      <w:r>
        <w:rPr/>
        <w:t>Aplicar juros de mora de 1% ao mês pro rata dia, no caso de atraso do pagamento da fatura pelo professor.</w:t>
      </w:r>
    </w:p>
    <w:p>
      <w:pPr>
        <w:pStyle w:val="ParagraphTextStyle"/>
        <w:numPr>
          <w:ilvl w:val="0"/>
          <w:numId w:val="0"/>
        </w:numPr>
        <w:ind w:left="720" w:hanging="0"/>
        <w:rPr/>
      </w:pPr>
      <w:r>
        <w:rPr/>
      </w:r>
    </w:p>
    <w:p>
      <w:pPr>
        <w:pStyle w:val="Ttulo2"/>
        <w:rPr/>
      </w:pPr>
      <w:r>
        <w:rPr/>
        <w:t>Capítulo 3: Obrigações do ExpertZone</w:t>
      </w:r>
    </w:p>
    <w:p>
      <w:pPr>
        <w:pStyle w:val="ParagraphTextStyle"/>
        <w:rPr/>
      </w:pPr>
      <w:r>
        <w:rPr/>
        <w:t>O ExpertZone tem as seguintes obrigações:</w:t>
      </w:r>
    </w:p>
    <w:p>
      <w:pPr>
        <w:pStyle w:val="ParagraphTextStyle"/>
        <w:numPr>
          <w:ilvl w:val="0"/>
          <w:numId w:val="1"/>
        </w:numPr>
        <w:rPr/>
      </w:pPr>
      <w:r>
        <w:rPr/>
        <w:t>Manter serviço à suas custas, não podendo ser responsabilizados por quaisquer interrupções involuntárias do sistema, em razão de falhas do serviço de hospedagem, força maior, caso fortuito, ou ainda, por solicitação judicial. Vedada a interrupção do serviço do ExpertZone, sem comunicação prévia de 45 dias, aos professores, no caso de encerramento de atividades.</w:t>
      </w:r>
    </w:p>
    <w:p>
      <w:pPr>
        <w:pStyle w:val="Ttulo2"/>
        <w:rPr/>
      </w:pPr>
      <w:r>
        <w:rPr/>
      </w:r>
    </w:p>
    <w:p>
      <w:pPr>
        <w:pStyle w:val="Ttulo2"/>
        <w:rPr/>
      </w:pPr>
      <w:r>
        <w:rPr/>
        <w:t>Capítulo 4: Direitos do Professor</w:t>
      </w:r>
    </w:p>
    <w:p>
      <w:pPr>
        <w:pStyle w:val="ParagraphTextStyle"/>
        <w:rPr/>
      </w:pPr>
      <w:r>
        <w:rPr/>
        <w:t>O professor tem os seguintes direitos:</w:t>
      </w:r>
    </w:p>
    <w:p>
      <w:pPr>
        <w:pStyle w:val="ParagraphTextStyle"/>
        <w:numPr>
          <w:ilvl w:val="0"/>
          <w:numId w:val="6"/>
        </w:numPr>
        <w:rPr/>
      </w:pPr>
      <w:r>
        <w:rPr/>
        <w:t>Garantia de não haver reajuste de preços, ou qualquer alteração que acarrete oneração do serviço, entre períodos inferiores ao intervalo de 12 meses entre alterações desse tipo;</w:t>
      </w:r>
    </w:p>
    <w:p>
      <w:pPr>
        <w:pStyle w:val="ParagraphTextStyle"/>
        <w:numPr>
          <w:ilvl w:val="0"/>
          <w:numId w:val="1"/>
        </w:numPr>
        <w:rPr/>
      </w:pPr>
      <w:r>
        <w:rPr/>
        <w:t>Pagar ao ExpertZone apenas o valor proporcional à quantidade de alunos que matricular, conforme a Tabela Faixas de Tarifas do Capítulo 6 deste documento;</w:t>
      </w:r>
    </w:p>
    <w:p>
      <w:pPr>
        <w:pStyle w:val="ParagraphTextStyle"/>
        <w:numPr>
          <w:ilvl w:val="0"/>
          <w:numId w:val="1"/>
        </w:numPr>
        <w:rPr/>
      </w:pPr>
      <w:r>
        <w:rPr/>
        <w:t>Não ser cobrado se, durante o mês calendário, não houver tido matrícula ativa em qualquer mentoria no perfil do professor;</w:t>
      </w:r>
    </w:p>
    <w:p>
      <w:pPr>
        <w:pStyle w:val="ParagraphTextStyle"/>
        <w:numPr>
          <w:ilvl w:val="0"/>
          <w:numId w:val="1"/>
        </w:numPr>
        <w:rPr/>
      </w:pPr>
      <w:r>
        <w:rPr/>
        <w:t>Cadastrar e matricular quantos alunos desejar, mas está ciente que o valor cobrado do professor será proporcional à quantidade de aluno que matricular;</w:t>
      </w:r>
    </w:p>
    <w:p>
      <w:pPr>
        <w:pStyle w:val="ParagraphTextStyle"/>
        <w:numPr>
          <w:ilvl w:val="0"/>
          <w:numId w:val="1"/>
        </w:numPr>
        <w:rPr/>
      </w:pPr>
      <w:r>
        <w:rPr/>
        <w:t>Receber desconto proporcional ao período com sistema inoperante superior a 72 horas, conforme o Capitulo 2 deste documento;</w:t>
      </w:r>
    </w:p>
    <w:p>
      <w:pPr>
        <w:pStyle w:val="ParagraphTextStyle"/>
        <w:numPr>
          <w:ilvl w:val="0"/>
          <w:numId w:val="1"/>
        </w:numPr>
        <w:rPr/>
      </w:pPr>
      <w:r>
        <w:rPr/>
        <w:t>Receber, no próprio sistema, demonstrativo da relação de matrículas ativas que conste do somatório de cada fatura mensal;</w:t>
      </w:r>
    </w:p>
    <w:p>
      <w:pPr>
        <w:pStyle w:val="ParagraphTextStyle"/>
        <w:numPr>
          <w:ilvl w:val="0"/>
          <w:numId w:val="1"/>
        </w:numPr>
        <w:rPr/>
      </w:pPr>
      <w:r>
        <w:rPr/>
        <w:t>Acompanhar, no próprio sistema, registros com datas e horários de cadastramento e alterações efetuadas em cada matrícula no seu perfil;</w:t>
      </w:r>
    </w:p>
    <w:p>
      <w:pPr>
        <w:pStyle w:val="ParagraphTextStyle"/>
        <w:numPr>
          <w:ilvl w:val="0"/>
          <w:numId w:val="1"/>
        </w:numPr>
        <w:rPr/>
      </w:pPr>
      <w:r>
        <w:rPr/>
        <w:t>Desistir da utilização do serviço pelo código do consumidor brasileiro, para serviço iniciado em até 7 dias, contado a partir da primeira matrícula cadastrada no perfil do cliente.</w:t>
      </w:r>
    </w:p>
    <w:p>
      <w:pPr>
        <w:pStyle w:val="ParagraphTextStyle"/>
        <w:rPr/>
      </w:pPr>
      <w:r>
        <w:rPr/>
      </w:r>
    </w:p>
    <w:p>
      <w:pPr>
        <w:pStyle w:val="Ttulo2"/>
        <w:rPr/>
      </w:pPr>
      <w:r>
        <w:rPr/>
        <w:t>Capítulo 5: Deveres do Professor</w:t>
      </w:r>
    </w:p>
    <w:p>
      <w:pPr>
        <w:pStyle w:val="ParagraphTextStyle"/>
        <w:rPr/>
      </w:pPr>
      <w:r>
        <w:rPr/>
        <w:t>O professor tem os seguintes deveres:</w:t>
      </w:r>
    </w:p>
    <w:p>
      <w:pPr>
        <w:pStyle w:val="ParagraphTextStyle"/>
        <w:numPr>
          <w:ilvl w:val="0"/>
          <w:numId w:val="1"/>
        </w:numPr>
        <w:rPr/>
      </w:pPr>
      <w:r>
        <w:rPr/>
        <w:t>Manter e-mail e demais dados de cadastro atualizados;</w:t>
      </w:r>
    </w:p>
    <w:p>
      <w:pPr>
        <w:pStyle w:val="ParagraphTextStyle"/>
        <w:numPr>
          <w:ilvl w:val="0"/>
          <w:numId w:val="1"/>
        </w:numPr>
        <w:rPr/>
      </w:pPr>
      <w:r>
        <w:rPr/>
        <w:t>Concordar que receber comunicado de alteração de termos de uso por e-mail, seja meio suficiente para estar atualizado com relação as últimas versões dos termos de uso do ExpertZone;</w:t>
      </w:r>
    </w:p>
    <w:p>
      <w:pPr>
        <w:pStyle w:val="ParagraphTextStyle"/>
        <w:numPr>
          <w:ilvl w:val="0"/>
          <w:numId w:val="1"/>
        </w:numPr>
        <w:rPr/>
      </w:pPr>
      <w:r>
        <w:rPr/>
        <w:t>Concordar que a realização da matrícula do aluno em seu perfil, enseja a cobrança da respectiva tarifa relativa ao mês da criação, bem como, relativa aos meses subsequentes os quais a matrícula permanecer ativa;</w:t>
      </w:r>
    </w:p>
    <w:p>
      <w:pPr>
        <w:pStyle w:val="ParagraphTextStyle"/>
        <w:numPr>
          <w:ilvl w:val="0"/>
          <w:numId w:val="1"/>
        </w:numPr>
        <w:rPr/>
      </w:pPr>
      <w:r>
        <w:rPr/>
        <w:t>Concordar e estar ciente do sistema de tarifas por quantidade proporcionais à quantidade de matrículas, conforme a tabela de preços apresentada neste texto;</w:t>
      </w:r>
    </w:p>
    <w:p>
      <w:pPr>
        <w:pStyle w:val="ParagraphTextStyle"/>
        <w:numPr>
          <w:ilvl w:val="0"/>
          <w:numId w:val="1"/>
        </w:numPr>
        <w:rPr/>
      </w:pPr>
      <w:r>
        <w:rPr/>
        <w:t>Se manter atualizado quanto às alterações de termos, das quais for comunicado;</w:t>
      </w:r>
    </w:p>
    <w:p>
      <w:pPr>
        <w:pStyle w:val="ParagraphTextStyle"/>
        <w:numPr>
          <w:ilvl w:val="0"/>
          <w:numId w:val="1"/>
        </w:numPr>
        <w:rPr/>
      </w:pPr>
      <w:r>
        <w:rPr/>
        <w:t>Dever do professor de pagar em dia as faturas;</w:t>
      </w:r>
    </w:p>
    <w:p>
      <w:pPr>
        <w:pStyle w:val="ParagraphTextStyle"/>
        <w:numPr>
          <w:ilvl w:val="0"/>
          <w:numId w:val="1"/>
        </w:numPr>
        <w:rPr/>
      </w:pPr>
      <w:r>
        <w:rPr/>
        <w:t>O professor concorda que a responsabilidade, perante o aluno cadastrado no perfil, sobre o conteúdo produzido pelo professor é única e exclusiva do professor;</w:t>
      </w:r>
    </w:p>
    <w:p>
      <w:pPr>
        <w:pStyle w:val="ParagraphTextStyle"/>
        <w:numPr>
          <w:ilvl w:val="0"/>
          <w:numId w:val="1"/>
        </w:numPr>
        <w:rPr/>
      </w:pPr>
      <w:r>
        <w:rPr/>
        <w:t>Concordar que o conteúdo produzido pelo aluno cadastrado no perfil do professor, é de inteira responsabilidade do aluno, única e exclusivamente;</w:t>
      </w:r>
    </w:p>
    <w:p>
      <w:pPr>
        <w:pStyle w:val="ParagraphTextStyle"/>
        <w:numPr>
          <w:ilvl w:val="0"/>
          <w:numId w:val="1"/>
        </w:numPr>
        <w:rPr/>
      </w:pPr>
      <w:r>
        <w:rPr/>
        <w:t>Manter conduta de respeito à privacidade dos dados pessoais e à honra de seus alunos;</w:t>
      </w:r>
    </w:p>
    <w:p>
      <w:pPr>
        <w:pStyle w:val="ParagraphTextStyle"/>
        <w:numPr>
          <w:ilvl w:val="0"/>
          <w:numId w:val="1"/>
        </w:numPr>
        <w:rPr/>
      </w:pPr>
      <w:r>
        <w:rPr/>
        <w:t>Concordar previamente com as  formas de pagamento definidas pelo ExpertZone, sendo essas formas uma ou várias das mais utilizadas no comércio em geral;</w:t>
      </w:r>
    </w:p>
    <w:p>
      <w:pPr>
        <w:pStyle w:val="ParagraphTextStyle"/>
        <w:numPr>
          <w:ilvl w:val="0"/>
          <w:numId w:val="1"/>
        </w:numPr>
        <w:rPr/>
      </w:pPr>
      <w:r>
        <w:rPr/>
        <w:t>Comunicar o ExpertZone sobre inoperância do sistema assim que o problema for constatado - se tal falha estiver impedindo ou o professor ou seus alunos de utilizarem todos os recursos do serviço do ExpertZone - para fazer jus ao desconto proporcional dos dias parados;</w:t>
      </w:r>
    </w:p>
    <w:p>
      <w:pPr>
        <w:pStyle w:val="ParagraphTextStyle"/>
        <w:numPr>
          <w:ilvl w:val="0"/>
          <w:numId w:val="1"/>
        </w:numPr>
        <w:rPr/>
      </w:pPr>
      <w:r>
        <w:rPr/>
        <w:t>Orientar os alunos que cadastrar em seu perfil, sobre a forma de acesso ao sistema, orientações de segurança, e ainda sobre a necessidade de observância da Política de Privacidade do ExpertZone;</w:t>
      </w:r>
    </w:p>
    <w:p>
      <w:pPr>
        <w:pStyle w:val="ParagraphTextStyle"/>
        <w:numPr>
          <w:ilvl w:val="0"/>
          <w:numId w:val="1"/>
        </w:numPr>
        <w:rPr/>
      </w:pPr>
      <w:r>
        <w:rPr/>
        <w:t>Concorda que está de acordo com a Política de Privacidade do ExpertZone(link para acesso ao texto);</w:t>
      </w:r>
    </w:p>
    <w:p>
      <w:pPr>
        <w:pStyle w:val="ParagraphTextStyle"/>
        <w:numPr>
          <w:ilvl w:val="0"/>
          <w:numId w:val="1"/>
        </w:numPr>
        <w:rPr/>
      </w:pPr>
      <w:r>
        <w:rPr/>
        <w:t>Manter informação de identidade e CPF, telefone e endereço de cobrança, pessoais, cadastrados e atualizados no sistema;</w:t>
      </w:r>
    </w:p>
    <w:p>
      <w:pPr>
        <w:pStyle w:val="ParagraphTextStyle"/>
        <w:numPr>
          <w:ilvl w:val="0"/>
          <w:numId w:val="1"/>
        </w:numPr>
        <w:rPr/>
      </w:pPr>
      <w:r>
        <w:rPr/>
        <w:t>Manter sobre absoluto sigilo, e em segurança, sua senha pessoal cadastrada, que é utilizada no acesso ao sistema ExpertZone.</w:t>
      </w:r>
    </w:p>
    <w:p>
      <w:pPr>
        <w:pStyle w:val="ParagraphTextStyle"/>
        <w:rPr/>
      </w:pPr>
      <w:r>
        <w:rPr/>
      </w:r>
    </w:p>
    <w:p>
      <w:pPr>
        <w:pStyle w:val="Ttulo2"/>
        <w:rPr/>
      </w:pPr>
      <w:r>
        <w:rPr/>
        <w:t>Capítulo 6: Tarifas e Cálculo de Faturas</w:t>
      </w:r>
    </w:p>
    <w:p>
      <w:pPr>
        <w:pStyle w:val="ParagraphTextStyle"/>
        <w:rPr/>
      </w:pPr>
      <w:r>
        <w:rPr/>
        <w:t>Valores de tarifas do ExpertZone e a forma de aplicação:</w:t>
      </w:r>
    </w:p>
    <w:p>
      <w:pPr>
        <w:pStyle w:val="ParagraphTextStyle"/>
        <w:numPr>
          <w:ilvl w:val="0"/>
          <w:numId w:val="1"/>
        </w:numPr>
        <w:rPr/>
      </w:pPr>
      <w:r>
        <w:rPr/>
        <w:t>a forma de cobrança de tarifas no ExpertZone se dará pela quantidade de matrículas ativas durante o mês calendário, e sua apuração será disponibilizada ao professor no início mês seguinte ao da utilização;</w:t>
      </w:r>
    </w:p>
    <w:p>
      <w:pPr>
        <w:pStyle w:val="ParagraphTextStyle"/>
        <w:numPr>
          <w:ilvl w:val="0"/>
          <w:numId w:val="1"/>
        </w:numPr>
        <w:rPr/>
      </w:pPr>
      <w:r>
        <w:rPr/>
        <w:t>O cálculo do valor final, relativo ao mês da utilização, se dá pelo aplicação das tarifas entre A a E, em ordem alfabética, limitadas pela quantidade máxima definida para cada faixa, conforme a tabela de Faixas de Tarifa;</w:t>
      </w:r>
    </w:p>
    <w:p>
      <w:pPr>
        <w:pStyle w:val="ParagraphTextStyle"/>
        <w:numPr>
          <w:ilvl w:val="0"/>
          <w:numId w:val="1"/>
        </w:numPr>
        <w:rPr/>
      </w:pPr>
      <w:r>
        <w:rPr/>
        <w:t>Tabela Faixas de Tarifas:</w:t>
      </w:r>
    </w:p>
    <w:p>
      <w:pPr>
        <w:pStyle w:val="ParagraphTextStyle"/>
        <w:rPr/>
      </w:pPr>
      <w:r>
        <w:rPr/>
      </w:r>
    </w:p>
    <w:tbl>
      <w:tblPr>
        <w:tblW w:w="4484" w:type="dxa"/>
        <w:jc w:val="center"/>
        <w:tblInd w:w="0" w:type="dxa"/>
        <w:tblLayout w:type="fixed"/>
        <w:tblCellMar>
          <w:top w:w="28" w:type="dxa"/>
          <w:left w:w="28" w:type="dxa"/>
          <w:bottom w:w="28" w:type="dxa"/>
          <w:right w:w="28" w:type="dxa"/>
        </w:tblCellMar>
      </w:tblPr>
      <w:tblGrid>
        <w:gridCol w:w="963"/>
        <w:gridCol w:w="1268"/>
        <w:gridCol w:w="2253"/>
      </w:tblGrid>
      <w:tr>
        <w:trPr>
          <w:tblHeader w:val="true"/>
        </w:trPr>
        <w:tc>
          <w:tcPr>
            <w:tcW w:w="963" w:type="dxa"/>
            <w:tcBorders/>
            <w:vAlign w:val="center"/>
          </w:tcPr>
          <w:p>
            <w:pPr>
              <w:pStyle w:val="Ttulodetabela"/>
              <w:widowControl w:val="false"/>
              <w:rPr/>
            </w:pPr>
            <w:r>
              <w:rPr/>
              <w:t>Faixas</w:t>
            </w:r>
          </w:p>
        </w:tc>
        <w:tc>
          <w:tcPr>
            <w:tcW w:w="1268" w:type="dxa"/>
            <w:tcBorders/>
            <w:vAlign w:val="center"/>
          </w:tcPr>
          <w:p>
            <w:pPr>
              <w:pStyle w:val="Ttulodetabela"/>
              <w:widowControl w:val="false"/>
              <w:jc w:val="center"/>
              <w:rPr/>
            </w:pPr>
            <w:r>
              <w:rPr/>
              <w:t>Quantidade máxima</w:t>
            </w:r>
          </w:p>
        </w:tc>
        <w:tc>
          <w:tcPr>
            <w:tcW w:w="2253" w:type="dxa"/>
            <w:tcBorders/>
            <w:vAlign w:val="center"/>
          </w:tcPr>
          <w:p>
            <w:pPr>
              <w:pStyle w:val="Ttulodetabela"/>
              <w:widowControl w:val="false"/>
              <w:jc w:val="center"/>
              <w:rPr/>
            </w:pPr>
            <w:r>
              <w:rPr/>
              <w:t>Tarifa(R$)</w:t>
            </w:r>
          </w:p>
        </w:tc>
      </w:tr>
      <w:tr>
        <w:trPr>
          <w:tblHeader w:val="true"/>
        </w:trPr>
        <w:tc>
          <w:tcPr>
            <w:tcW w:w="963" w:type="dxa"/>
            <w:tcBorders/>
            <w:vAlign w:val="center"/>
          </w:tcPr>
          <w:p>
            <w:pPr>
              <w:pStyle w:val="Ttulodetabela"/>
              <w:widowControl w:val="false"/>
              <w:rPr/>
            </w:pPr>
            <w:r>
              <w:rPr/>
              <w:t>Tarifa A</w:t>
            </w:r>
          </w:p>
        </w:tc>
        <w:tc>
          <w:tcPr>
            <w:tcW w:w="1268" w:type="dxa"/>
            <w:tcBorders/>
            <w:vAlign w:val="center"/>
          </w:tcPr>
          <w:p>
            <w:pPr>
              <w:pStyle w:val="Contedodatabela"/>
              <w:widowControl w:val="false"/>
              <w:jc w:val="center"/>
              <w:rPr/>
            </w:pPr>
            <w:r>
              <w:rPr/>
              <w:t>1</w:t>
            </w:r>
          </w:p>
        </w:tc>
        <w:tc>
          <w:tcPr>
            <w:tcW w:w="2253" w:type="dxa"/>
            <w:tcBorders/>
            <w:vAlign w:val="center"/>
          </w:tcPr>
          <w:p>
            <w:pPr>
              <w:pStyle w:val="Contedodatabela"/>
              <w:widowControl w:val="false"/>
              <w:jc w:val="center"/>
              <w:rPr/>
            </w:pPr>
            <w:r>
              <w:rPr/>
              <w:t>24,49</w:t>
            </w:r>
          </w:p>
        </w:tc>
      </w:tr>
      <w:tr>
        <w:trPr>
          <w:tblHeader w:val="true"/>
        </w:trPr>
        <w:tc>
          <w:tcPr>
            <w:tcW w:w="963" w:type="dxa"/>
            <w:tcBorders/>
            <w:vAlign w:val="center"/>
          </w:tcPr>
          <w:p>
            <w:pPr>
              <w:pStyle w:val="Ttulodetabela"/>
              <w:widowControl w:val="false"/>
              <w:rPr/>
            </w:pPr>
            <w:r>
              <w:rPr/>
              <w:t>Tarifa B</w:t>
            </w:r>
          </w:p>
        </w:tc>
        <w:tc>
          <w:tcPr>
            <w:tcW w:w="1268" w:type="dxa"/>
            <w:tcBorders/>
            <w:vAlign w:val="center"/>
          </w:tcPr>
          <w:p>
            <w:pPr>
              <w:pStyle w:val="Contedodatabela"/>
              <w:widowControl w:val="false"/>
              <w:jc w:val="center"/>
              <w:rPr/>
            </w:pPr>
            <w:r>
              <w:rPr/>
              <w:t>9</w:t>
            </w:r>
          </w:p>
        </w:tc>
        <w:tc>
          <w:tcPr>
            <w:tcW w:w="2253" w:type="dxa"/>
            <w:tcBorders/>
            <w:vAlign w:val="center"/>
          </w:tcPr>
          <w:p>
            <w:pPr>
              <w:pStyle w:val="Contedodatabela"/>
              <w:widowControl w:val="false"/>
              <w:jc w:val="center"/>
              <w:rPr/>
            </w:pPr>
            <w:r>
              <w:rPr/>
              <w:t xml:space="preserve">19,49 </w:t>
            </w:r>
          </w:p>
        </w:tc>
      </w:tr>
      <w:tr>
        <w:trPr>
          <w:tblHeader w:val="true"/>
        </w:trPr>
        <w:tc>
          <w:tcPr>
            <w:tcW w:w="963" w:type="dxa"/>
            <w:tcBorders/>
            <w:vAlign w:val="center"/>
          </w:tcPr>
          <w:p>
            <w:pPr>
              <w:pStyle w:val="Ttulodetabela"/>
              <w:widowControl w:val="false"/>
              <w:rPr/>
            </w:pPr>
            <w:r>
              <w:rPr/>
              <w:t>Tarifa C</w:t>
            </w:r>
          </w:p>
        </w:tc>
        <w:tc>
          <w:tcPr>
            <w:tcW w:w="1268" w:type="dxa"/>
            <w:tcBorders/>
            <w:vAlign w:val="center"/>
          </w:tcPr>
          <w:p>
            <w:pPr>
              <w:pStyle w:val="Contedodatabela"/>
              <w:widowControl w:val="false"/>
              <w:jc w:val="center"/>
              <w:rPr/>
            </w:pPr>
            <w:r>
              <w:rPr/>
              <w:t>20</w:t>
            </w:r>
          </w:p>
        </w:tc>
        <w:tc>
          <w:tcPr>
            <w:tcW w:w="2253" w:type="dxa"/>
            <w:tcBorders/>
            <w:vAlign w:val="center"/>
          </w:tcPr>
          <w:p>
            <w:pPr>
              <w:pStyle w:val="Contedodatabela"/>
              <w:widowControl w:val="false"/>
              <w:jc w:val="center"/>
              <w:rPr/>
            </w:pPr>
            <w:r>
              <w:rPr/>
              <w:t xml:space="preserve">14,49 </w:t>
            </w:r>
          </w:p>
        </w:tc>
      </w:tr>
      <w:tr>
        <w:trPr>
          <w:tblHeader w:val="true"/>
        </w:trPr>
        <w:tc>
          <w:tcPr>
            <w:tcW w:w="963" w:type="dxa"/>
            <w:tcBorders/>
            <w:vAlign w:val="center"/>
          </w:tcPr>
          <w:p>
            <w:pPr>
              <w:pStyle w:val="Ttulodetabela"/>
              <w:widowControl w:val="false"/>
              <w:rPr/>
            </w:pPr>
            <w:r>
              <w:rPr/>
              <w:t>Tarifa D</w:t>
            </w:r>
          </w:p>
        </w:tc>
        <w:tc>
          <w:tcPr>
            <w:tcW w:w="1268" w:type="dxa"/>
            <w:tcBorders/>
            <w:vAlign w:val="center"/>
          </w:tcPr>
          <w:p>
            <w:pPr>
              <w:pStyle w:val="Contedodatabela"/>
              <w:widowControl w:val="false"/>
              <w:jc w:val="center"/>
              <w:rPr/>
            </w:pPr>
            <w:r>
              <w:rPr/>
              <w:t>70</w:t>
            </w:r>
          </w:p>
        </w:tc>
        <w:tc>
          <w:tcPr>
            <w:tcW w:w="2253" w:type="dxa"/>
            <w:tcBorders/>
            <w:vAlign w:val="center"/>
          </w:tcPr>
          <w:p>
            <w:pPr>
              <w:pStyle w:val="Contedodatabela"/>
              <w:widowControl w:val="false"/>
              <w:jc w:val="center"/>
              <w:rPr/>
            </w:pPr>
            <w:r>
              <w:rPr/>
              <w:t xml:space="preserve">9,49 </w:t>
            </w:r>
          </w:p>
        </w:tc>
      </w:tr>
      <w:tr>
        <w:trPr>
          <w:tblHeader w:val="true"/>
        </w:trPr>
        <w:tc>
          <w:tcPr>
            <w:tcW w:w="963" w:type="dxa"/>
            <w:tcBorders/>
            <w:vAlign w:val="center"/>
          </w:tcPr>
          <w:p>
            <w:pPr>
              <w:pStyle w:val="Ttulodetabela"/>
              <w:widowControl w:val="false"/>
              <w:rPr/>
            </w:pPr>
            <w:r>
              <w:rPr/>
              <w:t xml:space="preserve">Tarifa E </w:t>
            </w:r>
          </w:p>
        </w:tc>
        <w:tc>
          <w:tcPr>
            <w:tcW w:w="1268" w:type="dxa"/>
            <w:tcBorders/>
            <w:vAlign w:val="center"/>
          </w:tcPr>
          <w:p>
            <w:pPr>
              <w:pStyle w:val="Contedodatabela"/>
              <w:widowControl w:val="false"/>
              <w:jc w:val="center"/>
              <w:rPr/>
            </w:pPr>
            <w:r>
              <w:rPr/>
              <w:t>Sem limite</w:t>
            </w:r>
          </w:p>
        </w:tc>
        <w:tc>
          <w:tcPr>
            <w:tcW w:w="2253" w:type="dxa"/>
            <w:tcBorders/>
            <w:vAlign w:val="center"/>
          </w:tcPr>
          <w:p>
            <w:pPr>
              <w:pStyle w:val="Contedodatabela"/>
              <w:widowControl w:val="false"/>
              <w:jc w:val="center"/>
              <w:rPr/>
            </w:pPr>
            <w:r>
              <w:rPr/>
              <w:t xml:space="preserve">4,49 </w:t>
            </w:r>
          </w:p>
        </w:tc>
      </w:tr>
    </w:tbl>
    <w:p>
      <w:pPr>
        <w:pStyle w:val="ParagraphTextStyle"/>
        <w:rPr/>
      </w:pPr>
      <w:r>
        <w:rPr/>
      </w:r>
    </w:p>
    <w:p>
      <w:pPr>
        <w:pStyle w:val="Ttulo2"/>
        <w:rPr/>
      </w:pPr>
      <w:r>
        <w:rPr/>
        <w:t>Capítulo 7: Propriedade do Conteúdo</w:t>
      </w:r>
    </w:p>
    <w:p>
      <w:pPr>
        <w:pStyle w:val="ParagraphTextStyle"/>
        <w:rPr/>
      </w:pPr>
      <w:r>
        <w:rPr/>
        <w:t>Propriedade do conteúdo produzido no sistema ExpertZone:</w:t>
      </w:r>
    </w:p>
    <w:p>
      <w:pPr>
        <w:pStyle w:val="ParagraphTextStyle"/>
        <w:numPr>
          <w:ilvl w:val="0"/>
          <w:numId w:val="1"/>
        </w:numPr>
        <w:rPr/>
      </w:pPr>
      <w:r>
        <w:rPr/>
        <w:t xml:space="preserve">A propriedade do conteúdo produzido no ExpertZone é compartilhada entre todos os usuários envolvidos e a ExpertZone. </w:t>
      </w:r>
    </w:p>
    <w:p>
      <w:pPr>
        <w:pStyle w:val="ParagraphTextStyle"/>
        <w:numPr>
          <w:ilvl w:val="0"/>
          <w:numId w:val="1"/>
        </w:numPr>
        <w:rPr/>
      </w:pPr>
      <w:r>
        <w:rPr/>
        <w:t>O ExpertZone reserva-se o direito de utilizar o conteúdo produzido por todos os usuários para fins estatísticos e publicitários de forma anônima.</w:t>
      </w:r>
    </w:p>
    <w:p>
      <w:pPr>
        <w:pStyle w:val="ParagraphTextStyle"/>
        <w:rPr/>
      </w:pPr>
      <w:r>
        <w:rPr/>
      </w:r>
    </w:p>
    <w:p>
      <w:pPr>
        <w:pStyle w:val="ParagraphTextStyle"/>
        <w:spacing w:before="144" w:after="72"/>
        <w:rPr/>
      </w:pPr>
      <w:r>
        <w:rPr/>
        <w:t>A utilização do sistema ExpertZone pelo cliente, usuário, mentor/professor, implica em aceitação tácita de todas as cláusulas contidas neste documento, doravante chamado de Termos de Uso do ExpertZone, sem exceção. Se você não concordar com algum destes termos, por favor, não utilize o ExpertZone.</w:t>
      </w:r>
    </w:p>
    <w:sectPr>
      <w:headerReference w:type="default" r:id="rId2"/>
      <w:type w:val="nextPage"/>
      <w:pgSz w:w="11906" w:h="16838"/>
      <w:pgMar w:left="1440" w:right="1440" w:gutter="0" w:header="708" w:top="765"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uiPriority w:val="9"/>
    <w:qFormat/>
    <w:pPr>
      <w:widowControl/>
      <w:suppressAutoHyphens w:val="true"/>
      <w:bidi w:val="0"/>
      <w:spacing w:lineRule="auto" w:line="276" w:before="144" w:after="72"/>
      <w:jc w:val="left"/>
      <w:outlineLvl w:val="0"/>
    </w:pPr>
    <w:rPr>
      <w:rFonts w:ascii="Segoe UI" w:hAnsi="Segoe UI" w:eastAsia="Segoe UI" w:cs="Segoe UI"/>
      <w:b/>
      <w:bCs/>
      <w:color w:val="005366"/>
      <w:kern w:val="0"/>
      <w:sz w:val="24"/>
      <w:szCs w:val="24"/>
      <w:lang w:val="pt-BR" w:eastAsia="pt-BR" w:bidi="ar-SA"/>
    </w:rPr>
  </w:style>
  <w:style w:type="paragraph" w:styleId="Ttulo2">
    <w:name w:val="Heading 2"/>
    <w:uiPriority w:val="9"/>
    <w:unhideWhenUsed/>
    <w:qFormat/>
    <w:pPr>
      <w:widowControl/>
      <w:suppressAutoHyphens w:val="true"/>
      <w:bidi w:val="0"/>
      <w:spacing w:before="0" w:after="0"/>
      <w:jc w:val="left"/>
      <w:outlineLvl w:val="1"/>
    </w:pPr>
    <w:rPr>
      <w:rFonts w:ascii="Times New Roman" w:hAnsi="Times New Roman" w:eastAsia="Times New Roman" w:cs="Times New Roman"/>
      <w:color w:val="2E74B5"/>
      <w:kern w:val="0"/>
      <w:sz w:val="26"/>
      <w:szCs w:val="26"/>
      <w:lang w:val="pt-BR" w:eastAsia="pt-BR" w:bidi="ar-SA"/>
    </w:rPr>
  </w:style>
  <w:style w:type="paragraph" w:styleId="Ttulo3">
    <w:name w:val="Heading 3"/>
    <w:uiPriority w:val="9"/>
    <w:semiHidden/>
    <w:unhideWhenUsed/>
    <w:qFormat/>
    <w:pPr>
      <w:widowControl/>
      <w:suppressAutoHyphens w:val="true"/>
      <w:bidi w:val="0"/>
      <w:spacing w:before="0" w:after="0"/>
      <w:jc w:val="left"/>
      <w:outlineLvl w:val="2"/>
    </w:pPr>
    <w:rPr>
      <w:rFonts w:ascii="Times New Roman" w:hAnsi="Times New Roman" w:eastAsia="Times New Roman" w:cs="Times New Roman"/>
      <w:color w:val="1F4D78"/>
      <w:kern w:val="0"/>
      <w:sz w:val="24"/>
      <w:szCs w:val="24"/>
      <w:lang w:val="pt-BR" w:eastAsia="pt-BR" w:bidi="ar-SA"/>
    </w:rPr>
  </w:style>
  <w:style w:type="paragraph" w:styleId="Ttulo4">
    <w:name w:val="Heading 4"/>
    <w:uiPriority w:val="9"/>
    <w:semiHidden/>
    <w:unhideWhenUsed/>
    <w:qFormat/>
    <w:pPr>
      <w:widowControl/>
      <w:suppressAutoHyphens w:val="true"/>
      <w:bidi w:val="0"/>
      <w:spacing w:before="0" w:after="0"/>
      <w:jc w:val="left"/>
      <w:outlineLvl w:val="3"/>
    </w:pPr>
    <w:rPr>
      <w:rFonts w:ascii="Times New Roman" w:hAnsi="Times New Roman" w:eastAsia="Times New Roman" w:cs="Times New Roman"/>
      <w:i/>
      <w:iCs/>
      <w:color w:val="2E74B5"/>
      <w:kern w:val="0"/>
      <w:sz w:val="20"/>
      <w:szCs w:val="20"/>
      <w:lang w:val="pt-BR" w:eastAsia="pt-BR" w:bidi="ar-SA"/>
    </w:rPr>
  </w:style>
  <w:style w:type="paragraph" w:styleId="Ttulo5">
    <w:name w:val="Heading 5"/>
    <w:uiPriority w:val="9"/>
    <w:semiHidden/>
    <w:unhideWhenUsed/>
    <w:qFormat/>
    <w:pPr>
      <w:widowControl/>
      <w:suppressAutoHyphens w:val="true"/>
      <w:bidi w:val="0"/>
      <w:spacing w:before="0" w:after="0"/>
      <w:jc w:val="left"/>
      <w:outlineLvl w:val="4"/>
    </w:pPr>
    <w:rPr>
      <w:rFonts w:ascii="Times New Roman" w:hAnsi="Times New Roman" w:eastAsia="Times New Roman" w:cs="Times New Roman"/>
      <w:color w:val="2E74B5"/>
      <w:kern w:val="0"/>
      <w:sz w:val="20"/>
      <w:szCs w:val="20"/>
      <w:lang w:val="pt-BR" w:eastAsia="pt-BR" w:bidi="ar-SA"/>
    </w:rPr>
  </w:style>
  <w:style w:type="paragraph" w:styleId="Ttulo6">
    <w:name w:val="Heading 6"/>
    <w:uiPriority w:val="9"/>
    <w:semiHidden/>
    <w:unhideWhenUsed/>
    <w:qFormat/>
    <w:pPr>
      <w:widowControl/>
      <w:suppressAutoHyphens w:val="true"/>
      <w:bidi w:val="0"/>
      <w:spacing w:before="0" w:after="0"/>
      <w:jc w:val="left"/>
      <w:outlineLvl w:val="5"/>
    </w:pPr>
    <w:rPr>
      <w:rFonts w:ascii="Times New Roman" w:hAnsi="Times New Roman" w:eastAsia="Times New Roman" w:cs="Times New Roman"/>
      <w:color w:val="1F4D78"/>
      <w:kern w:val="0"/>
      <w:sz w:val="20"/>
      <w:szCs w:val="20"/>
      <w:lang w:val="pt-BR" w:eastAsia="pt-BR" w:bidi="ar-SA"/>
    </w:rPr>
  </w:style>
  <w:style w:type="character" w:styleId="DefaultParagraphFont" w:default="1">
    <w:name w:val="Default Paragraph Font"/>
    <w:uiPriority w:val="1"/>
    <w:semiHidden/>
    <w:unhideWhenUsed/>
    <w:qFormat/>
    <w:rPr/>
  </w:style>
  <w:style w:type="character" w:styleId="LinkdaInternet">
    <w:name w:val="Hyperlink"/>
    <w:uiPriority w:val="99"/>
    <w:unhideWhenUsed/>
    <w:rPr>
      <w:color w:val="0563C1"/>
      <w:u w:val="single"/>
    </w:rPr>
  </w:style>
  <w:style w:type="character" w:styleId="Caracteresdenotaderodap">
    <w:name w:val="Caracteres de nota de rodapé"/>
    <w:uiPriority w:val="99"/>
    <w:semiHidden/>
    <w:unhideWhenUsed/>
    <w:qFormat/>
    <w:rPr>
      <w:vertAlign w:val="superscript"/>
    </w:rPr>
  </w:style>
  <w:style w:type="character" w:styleId="Ncoradanotaderodap">
    <w:name w:val="Footnote Reference"/>
    <w:rPr>
      <w:vertAlign w:val="superscript"/>
    </w:rPr>
  </w:style>
  <w:style w:type="character" w:styleId="TextodenotaderodapChar" w:customStyle="1">
    <w:name w:val="Texto de nota de rodapé Char"/>
    <w:uiPriority w:val="99"/>
    <w:semiHidden/>
    <w:unhideWhenUsed/>
    <w:qFormat/>
    <w:rPr>
      <w:sz w:val="20"/>
      <w:szCs w:val="20"/>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uiPriority w:val="10"/>
    <w:qFormat/>
    <w:pPr>
      <w:widowControl/>
      <w:suppressAutoHyphens w:val="true"/>
      <w:bidi w:val="0"/>
      <w:spacing w:before="0" w:after="0"/>
      <w:jc w:val="left"/>
    </w:pPr>
    <w:rPr>
      <w:rFonts w:ascii="Times New Roman" w:hAnsi="Times New Roman" w:eastAsia="Times New Roman" w:cs="Times New Roman"/>
      <w:color w:val="auto"/>
      <w:kern w:val="0"/>
      <w:sz w:val="56"/>
      <w:szCs w:val="56"/>
      <w:lang w:val="pt-BR" w:eastAsia="pt-BR" w:bidi="ar-SA"/>
    </w:rPr>
  </w:style>
  <w:style w:type="paragraph" w:styleId="Forte1" w:customStyle="1">
    <w:name w:val="Forte1"/>
    <w:qFormat/>
    <w:pPr>
      <w:widowControl/>
      <w:suppressAutoHyphens w:val="true"/>
      <w:bidi w:val="0"/>
      <w:spacing w:before="0" w:after="0"/>
      <w:jc w:val="left"/>
    </w:pPr>
    <w:rPr>
      <w:rFonts w:ascii="Times New Roman" w:hAnsi="Times New Roman" w:eastAsia="Times New Roman" w:cs="Times New Roman"/>
      <w:b/>
      <w:bCs/>
      <w:color w:val="auto"/>
      <w:kern w:val="0"/>
      <w:sz w:val="20"/>
      <w:szCs w:val="20"/>
      <w:lang w:val="pt-BR" w:eastAsia="pt-BR" w:bidi="ar-SA"/>
    </w:rPr>
  </w:style>
  <w:style w:type="paragraph" w:styleId="ListParagraph">
    <w:name w:val="List Paragraph"/>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Notaderodap">
    <w:name w:val="Footnote Text"/>
    <w:link w:val="TextodenotaderodapChar"/>
    <w:uiPriority w:val="99"/>
    <w:semiHidden/>
    <w:unhideWhenUsed/>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PageContextTitleStyle" w:customStyle="1">
    <w:name w:val="Page Context Title Style"/>
    <w:qFormat/>
    <w:pPr>
      <w:widowControl/>
      <w:suppressAutoHyphens w:val="true"/>
      <w:bidi w:val="0"/>
      <w:spacing w:lineRule="auto" w:line="276" w:before="144" w:after="72"/>
      <w:jc w:val="left"/>
    </w:pPr>
    <w:rPr>
      <w:rFonts w:ascii="Segoe UI" w:hAnsi="Segoe UI" w:eastAsia="Segoe UI" w:cs="Segoe UI"/>
      <w:b/>
      <w:bCs/>
      <w:color w:val="ED7D31"/>
      <w:kern w:val="0"/>
      <w:sz w:val="24"/>
      <w:szCs w:val="24"/>
      <w:lang w:val="pt-BR" w:eastAsia="pt-BR" w:bidi="ar-SA"/>
    </w:rPr>
  </w:style>
  <w:style w:type="paragraph" w:styleId="LinkStyle" w:customStyle="1">
    <w:name w:val="Link Style"/>
    <w:qFormat/>
    <w:pPr>
      <w:widowControl/>
      <w:suppressAutoHyphens w:val="true"/>
      <w:bidi w:val="0"/>
      <w:spacing w:lineRule="auto" w:line="276" w:before="144" w:after="72"/>
      <w:jc w:val="left"/>
    </w:pPr>
    <w:rPr>
      <w:rFonts w:ascii="Segoe UI" w:hAnsi="Segoe UI" w:eastAsia="Segoe UI" w:cs="Segoe UI"/>
      <w:b/>
      <w:bCs/>
      <w:color w:val="2E74B5"/>
      <w:kern w:val="0"/>
      <w:sz w:val="24"/>
      <w:szCs w:val="24"/>
      <w:u w:val="single" w:color="2E74B5"/>
      <w:lang w:val="pt-BR" w:eastAsia="pt-BR" w:bidi="ar-SA"/>
    </w:rPr>
  </w:style>
  <w:style w:type="paragraph" w:styleId="ParagraphTextStyle" w:customStyle="1">
    <w:name w:val="Paragraph Text Style"/>
    <w:qFormat/>
    <w:pPr>
      <w:widowControl/>
      <w:suppressAutoHyphens w:val="true"/>
      <w:bidi w:val="0"/>
      <w:spacing w:lineRule="auto" w:line="276" w:before="144" w:after="72"/>
      <w:jc w:val="left"/>
    </w:pPr>
    <w:rPr>
      <w:rFonts w:ascii="Segoe UI" w:hAnsi="Segoe UI" w:eastAsia="Segoe UI" w:cs="Segoe UI"/>
      <w:color w:val="000000"/>
      <w:kern w:val="0"/>
      <w:sz w:val="26"/>
      <w:szCs w:val="26"/>
      <w:lang w:val="pt-BR" w:eastAsia="pt-BR" w:bidi="ar-SA"/>
    </w:rPr>
  </w:style>
  <w:style w:type="paragraph" w:styleId="CitationStyle" w:customStyle="1">
    <w:name w:val="Citation Style"/>
    <w:qFormat/>
    <w:pPr>
      <w:widowControl/>
      <w:suppressAutoHyphens w:val="true"/>
      <w:bidi w:val="0"/>
      <w:spacing w:before="0" w:after="0"/>
      <w:jc w:val="left"/>
    </w:pPr>
    <w:rPr>
      <w:rFonts w:ascii="Segoe UI" w:hAnsi="Segoe UI" w:eastAsia="Segoe UI" w:cs="Segoe UI"/>
      <w:color w:val="000000"/>
      <w:kern w:val="0"/>
      <w:sz w:val="20"/>
      <w:szCs w:val="20"/>
      <w:lang w:val="pt-BR" w:eastAsia="pt-BR" w:bidi="ar-SA"/>
    </w:rPr>
  </w:style>
  <w:style w:type="paragraph" w:styleId="HeaderStyle" w:customStyle="1">
    <w:name w:val="Header Style"/>
    <w:qFormat/>
    <w:pPr>
      <w:widowControl/>
      <w:suppressAutoHyphens w:val="true"/>
      <w:bidi w:val="0"/>
      <w:spacing w:before="0" w:after="0"/>
      <w:jc w:val="left"/>
    </w:pPr>
    <w:rPr>
      <w:rFonts w:ascii="Segoe UI" w:hAnsi="Segoe UI" w:eastAsia="Segoe UI" w:cs="Segoe UI"/>
      <w:color w:val="767676"/>
      <w:kern w:val="0"/>
      <w:sz w:val="24"/>
      <w:szCs w:val="24"/>
      <w:lang w:val="pt-BR" w:eastAsia="pt-BR" w:bidi="ar-SA"/>
    </w:rPr>
  </w:style>
  <w:style w:type="paragraph" w:styleId="CodeStyle" w:customStyle="1">
    <w:name w:val="Code Style"/>
    <w:qFormat/>
    <w:pPr>
      <w:widowControl/>
      <w:suppressAutoHyphens w:val="true"/>
      <w:bidi w:val="0"/>
      <w:spacing w:before="0" w:after="0"/>
      <w:jc w:val="left"/>
    </w:pPr>
    <w:rPr>
      <w:rFonts w:ascii="Consolas" w:hAnsi="Consolas" w:eastAsia="Consolas" w:cs="Consolas"/>
      <w:color w:val="auto"/>
      <w:kern w:val="0"/>
      <w:sz w:val="24"/>
      <w:szCs w:val="24"/>
      <w:lang w:val="pt-BR" w:eastAsia="pt-BR" w:bidi="ar-SA"/>
    </w:rPr>
  </w:style>
  <w:style w:type="paragraph" w:styleId="CabealhoeRodap">
    <w:name w:val="Cabeçalho e Rodapé"/>
    <w:basedOn w:val="Normal"/>
    <w:qFormat/>
    <w:pPr/>
    <w:rPr/>
  </w:style>
  <w:style w:type="paragraph" w:styleId="Cabealho">
    <w:name w:val="Header"/>
    <w:basedOn w:val="CabealhoeRodap"/>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Application>LibreOffice/7.4.7.2$Linux_X86_64 LibreOffice_project/40$Build-2</Application>
  <AppVersion>15.0000</AppVersion>
  <Pages>5</Pages>
  <Words>1470</Words>
  <Characters>7781</Characters>
  <CharactersWithSpaces>9142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2024-02-18T12:30:00Z</dcterms:created>
  <dc:creator>Un-named</dc:creator>
  <dc:description/>
  <dc:language>pt-BR</dc:language>
  <cp:lastModifiedBy/>
  <dcterms:modified xsi:type="dcterms:W3CDTF">2024-02-25T20:15:45Z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