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Questionário 04</w:t>
      </w:r>
    </w:p>
    <w:p>
      <w:pPr>
        <w:pStyle w:val="NoSpacing"/>
        <w:ind w:left="360" w:hanging="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De acordo com a hierarquia das memórias, podemos listar as memórias em ordem da mais rápida para a mais lenta: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Registrador, Cache, L2 Cache, Memória Principal (RAM) e Disco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Registrador, L2 Cache, Cache, Memória Principal (RAM) e Disco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Disco, Memória Principal (RAM), L2 Cache, Cache e Registrador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Registrador, Memória Principal (RAM), Cache, L2 Cache e Disco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Disco, Cache, L2 Cache, Memória Principal (RAM) e Registrador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Dentre as tarefas do Gerenciador de Memória, podemos destacar: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Controlar se não há memória demais instalada no computador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Verificar se não há pentes de memória corrompida no computador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Controlar processos para que estes não corrompam a memória com vírus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Alocar memória aos processos quando precisarem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Verificar se há pouca memória instalada no computador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D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 Memory Management Unit (MMU) é um(a):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Software que gerencia a memória do computador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Dispositivo de hardware que transforma endereços virtuais em endereços físicos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Dispositivo de hardware que gerencia a memória cache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Dispositivo de hardware que gerencia a memória principal (RAM)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Dispositivo de hardware que assegura que os endereços virtuais sejam mais rápidos que os endereços físicos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No contexto do gerenciamento de memórias, o swapping é: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Chaveamento entre a memória cache e a memória principal (RAM)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Chaveamento entre processos para executar na CPU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Chaveamento de processos entre a memória e o disco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Chaveamento entre discos para maior eficiência da memória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Chaveamento de processos entre a memória e a CPU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No contexto de gerenciamento de memória, as estruturas para gerenciamento pode sem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Mapa de Bits (Bitmap) e Árvore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Tabela hash e Mapa de Bits (Bitmap)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Tabela hash e Lista Encadeada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Tabela hash e Árvore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Mapa de Bits (Bitmap) e Lista Encadeada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E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Os algoritmos de alocação de memória podem ser: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Primeira escolha, Melhor escolha e Pior escolha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Escolha aleatória, Pior escolha e Melhor escolha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Primeira escolha, Escolha aleatória e Melhor escolha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Primeira escolha, Escolha aleatória e Pior escolha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 Memória Virtual é uma: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Técnica que transforma a memória secundária em um volume para backup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Técnica que usa a memória secundária como cache para partes do espaço dos 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Técnica que usa a memória secundária para criptografar os dados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Técnica que usa a memória secundária para proteger os processos contra escritas mal-intencionadas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Técnica que usa a memória secundária como registrador da CPU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 Translation Lookaside Buffer (TLB) é um: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Hardware responsável por alocar memória a ser utilizada pelos 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Hardware responsável por liberar a memória utilizada pelos 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Hardware responsável por fazer cache da tabela de páginas mais usadas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Hardware responsável por traduzir endereços lógicos em endereços físicos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Hardware responsável por gerenciar a memória virtual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As duas técnicas mais comuns para gerenciar a memória virtual são: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Coordenação e Segmentação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Paginação e Coordenação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Paginação e Segmentação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Segmentação e Espalhamento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page fault é um evento que ocorre quando: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página de memória que não está na memória RAM é referenciada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página de memória não existe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página de memória não pode ser alocada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página de memória não pode ser liberada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86"/>
      <w:gridCol w:w="5877"/>
      <w:gridCol w:w="11"/>
      <w:gridCol w:w="2843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88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Sistemas Operacionais Desktop</w:t>
          </w:r>
        </w:p>
      </w:tc>
      <w:tc>
        <w:tcPr>
          <w:tcW w:w="284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8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3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7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54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Application>LibreOffice/7.5.3.2$Windows_X86_64 LibreOffice_project/9f56dff12ba03b9acd7730a5a481eea045e468f3</Application>
  <AppVersion>15.0000</AppVersion>
  <Pages>2</Pages>
  <Words>597</Words>
  <Characters>3234</Characters>
  <CharactersWithSpaces>3703</CharactersWithSpaces>
  <Paragraphs>78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2023-06-21T14:41:34Z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