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Verbete: classificacao de projetos de lei por tema</w:t>
      </w:r>
    </w:p>
    <w:p>
      <w:pPr>
        <w:jc w:val="center"/>
      </w:pPr>
      <w:r>
        <w:rPr>
          <w:b/>
        </w:rPr>
        <w:t>Fabricio Junio Almeida Dias</w:t>
      </w:r>
    </w:p>
    <w:p>
      <w:r>
        <w:br w:type="page"/>
      </w:r>
    </w:p>
    <w:p>
      <w:pPr>
        <w:pStyle w:val="Heading1"/>
      </w:pPr>
      <w:r>
        <w:t>Verbete</w:t>
      </w:r>
    </w:p>
    <w:p>
      <w:pPr>
        <w:jc w:val="both"/>
      </w:pPr>
      <w:r>
        <w:t xml:space="preserve">Classifica </w:t>
      </w:r>
      <w:r>
        <w:rPr>
          <w:b/>
        </w:rPr>
        <w:t>projetos de lei por tema</w:t>
      </w:r>
      <w:r>
        <w:t>, a partir da ementa, usando a taxonomia oficial de 32 temas da Câmara dos Deputados. É o motor de um produto de monitoramento regulatório: saber, no dia em que a proposição é apresentada, quais clientes ela afeta.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python experimentos/01_coletar.py --anos 2022 2023 2024 --maximo-por-ano 1500</w:t>
        <w:br/>
        <w:t>python experimentos/02_treinar.py --ano-de-teste 2024</w:t>
        <w:br/>
        <w:t>python experimentos/03_abstencao_e_explicacao.py</w:t>
        <w:br/>
        <w:t>python experimentos/04_figuras.py</w:t>
        <w:br/>
        <w:t>python -m pytest testes/ -q          # 41 testes</w:t>
      </w:r>
    </w:p>
    <w:p>
      <w:pPr>
        <w:pStyle w:val="Heading2"/>
      </w:pPr>
      <w:r>
        <w:t>Em um parágrafo</w:t>
      </w:r>
    </w:p>
    <w:p>
      <w:pPr>
        <w:jc w:val="both"/>
      </w:pPr>
      <w:r>
        <w:t xml:space="preserve">4.500 projetos de lei de 2022 a 2024, cada um com os temas que a indexação da Câmara atribuiu. 99,9% têm ao menos um tema. O problema é multirrótulo, a taxonomia é desigual (o tema mais comum tem 1.207 casos, o mais raro tem 14), e a decisão de produto não é "qual o F1" e sim </w:t>
      </w:r>
      <w:r>
        <w:rPr>
          <w:b/>
        </w:rPr>
        <w:t>"com que cobertura eu consigo que F1"</w:t>
      </w:r>
      <w:r>
        <w:t>, porque classificar errado custa mais do que não opinar.</w:t>
      </w:r>
    </w:p>
    <w:p>
      <w:pPr>
        <w:pStyle w:val="Heading2"/>
      </w:pPr>
      <w:r>
        <w:t>O resultado principal: o tamanho do vazamento de anotação</w:t>
      </w:r>
    </w:p>
    <w:p>
      <w:pPr>
        <w:jc w:val="both"/>
      </w:pPr>
      <w:r>
        <w:t xml:space="preserve">O campo </w:t>
      </w:r>
      <w:r>
        <w:rPr>
          <w:rFonts w:ascii="Consolas" w:hAnsi="Consolas"/>
          <w:sz w:val="19"/>
        </w:rPr>
        <w:t>keywords</w:t>
      </w:r>
      <w:r>
        <w:t xml:space="preserve"> da API é preenchido </w:t>
      </w:r>
      <w:r>
        <w:rPr>
          <w:b/>
        </w:rPr>
        <w:t>pela mesma indexação humana que atribui o tema</w:t>
      </w:r>
      <w:r>
        <w:t>, no mesmo momento. Usá-lo como variável é usar parte do trabalho que produziu o rótulo. O projeto treina o mesmo modelo com e sem ele: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micro-F1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macro-F1</w:t>
            </w:r>
          </w:p>
        </w:tc>
      </w:tr>
      <w:tr>
        <w:tc>
          <w:tcPr>
            <w:tcW w:type="dxa" w:w="2880"/>
          </w:tcPr>
          <w:p>
            <w:r>
              <w:t>sem as palavras-chave (</w:t>
            </w:r>
            <w:r>
              <w:rPr>
                <w:b/>
              </w:rPr>
              <w:t>o que existe em produção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0,542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0,473</w:t>
            </w:r>
          </w:p>
        </w:tc>
      </w:tr>
      <w:tr>
        <w:tc>
          <w:tcPr>
            <w:tcW w:type="dxa" w:w="2880"/>
          </w:tcPr>
          <w:p>
            <w:r>
              <w:t>com as palavras-chave da indexação</w:t>
            </w:r>
          </w:p>
        </w:tc>
        <w:tc>
          <w:tcPr>
            <w:tcW w:type="dxa" w:w="2880"/>
          </w:tcPr>
          <w:p>
            <w:r>
              <w:t>0,682</w:t>
            </w:r>
          </w:p>
        </w:tc>
        <w:tc>
          <w:tcPr>
            <w:tcW w:type="dxa" w:w="2880"/>
          </w:tcPr>
          <w:p>
            <w:r>
              <w:t>0,596</w:t>
            </w:r>
          </w:p>
        </w:tc>
      </w:tr>
      <w:tr>
        <w:tc>
          <w:tcPr>
            <w:tcW w:type="dxa" w:w="2880"/>
          </w:tcPr>
          <w:p>
            <w:r>
              <w:t>diferença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+0,140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+0,123</w:t>
            </w:r>
          </w:p>
        </w:tc>
      </w:tr>
    </w:tbl>
    <w:p/>
    <w:p>
      <w:pPr>
        <w:jc w:val="both"/>
      </w:pPr>
      <w:r>
        <w:t xml:space="preserve">Um modelo que usasse as palavras-chave pareceria </w:t>
      </w:r>
      <w:r>
        <w:rPr>
          <w:b/>
        </w:rPr>
        <w:t>26% melhor</w:t>
      </w:r>
      <w:r>
        <w:t xml:space="preserve"> do que vai ser no dia em que a proposição chegar sem indexação nenhuma. Esse número não aparece sozinho: ele só existe porque alguém perguntou de onde a variável vem.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94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z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 tamanho do vazamento</w:t>
      </w:r>
    </w:p>
    <w:p>
      <w:pPr>
        <w:pStyle w:val="Heading2"/>
      </w:pPr>
      <w:r>
        <w:t>De quanto o modelo ganha de não ter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micro-F1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acerto exato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ao menos um certo</w:t>
            </w:r>
          </w:p>
        </w:tc>
      </w:tr>
      <w:tr>
        <w:tc>
          <w:tcPr>
            <w:tcW w:type="dxa" w:w="1728"/>
          </w:tcPr>
          <w:p>
            <w:r>
              <w:t>sempre os temas mais frequentes</w:t>
            </w:r>
          </w:p>
        </w:tc>
        <w:tc>
          <w:tcPr>
            <w:tcW w:type="dxa" w:w="1728"/>
          </w:tcPr>
          <w:p>
            <w:r>
              <w:t>0,212</w:t>
            </w:r>
          </w:p>
        </w:tc>
        <w:tc>
          <w:tcPr>
            <w:tcW w:type="dxa" w:w="1728"/>
          </w:tcPr>
          <w:p>
            <w:r>
              <w:t>0,023</w:t>
            </w:r>
          </w:p>
        </w:tc>
        <w:tc>
          <w:tcPr>
            <w:tcW w:type="dxa" w:w="1728"/>
          </w:tcPr>
          <w:p>
            <w:r>
              <w:t>0,033</w:t>
            </w:r>
          </w:p>
        </w:tc>
        <w:tc>
          <w:tcPr>
            <w:tcW w:type="dxa" w:w="1728"/>
          </w:tcPr>
          <w:p>
            <w:r>
              <w:t>0,354</w:t>
            </w:r>
          </w:p>
        </w:tc>
      </w:tr>
      <w:tr>
        <w:tc>
          <w:tcPr>
            <w:tcW w:type="dxa" w:w="1728"/>
          </w:tcPr>
          <w:p>
            <w:r>
              <w:t>regra por palavra do nome do tema</w:t>
            </w:r>
          </w:p>
        </w:tc>
        <w:tc>
          <w:tcPr>
            <w:tcW w:type="dxa" w:w="1728"/>
          </w:tcPr>
          <w:p>
            <w:r>
              <w:t>0,294</w:t>
            </w:r>
          </w:p>
        </w:tc>
        <w:tc>
          <w:tcPr>
            <w:tcW w:type="dxa" w:w="1728"/>
          </w:tcPr>
          <w:p>
            <w:r>
              <w:t>0,263</w:t>
            </w:r>
          </w:p>
        </w:tc>
        <w:tc>
          <w:tcPr>
            <w:tcW w:type="dxa" w:w="1728"/>
          </w:tcPr>
          <w:p>
            <w:r>
              <w:t>0,075</w:t>
            </w:r>
          </w:p>
        </w:tc>
        <w:tc>
          <w:tcPr>
            <w:tcW w:type="dxa" w:w="1728"/>
          </w:tcPr>
          <w:p>
            <w:r>
              <w:t>0,675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TF-IDF com logística por tema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0,542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0,473</w:t>
            </w:r>
          </w:p>
        </w:tc>
        <w:tc>
          <w:tcPr>
            <w:tcW w:type="dxa" w:w="1728"/>
          </w:tcPr>
          <w:p>
            <w:r>
              <w:t>0,199</w:t>
            </w:r>
          </w:p>
        </w:tc>
        <w:tc>
          <w:tcPr>
            <w:tcW w:type="dxa" w:w="1728"/>
          </w:tcPr>
          <w:p>
            <w:r>
              <w:t>0,853</w:t>
            </w:r>
          </w:p>
        </w:tc>
      </w:tr>
    </w:tbl>
    <w:p/>
    <w:p>
      <w:pPr>
        <w:jc w:val="both"/>
      </w:pPr>
      <w:r>
        <w:t xml:space="preserve">Ganho de </w:t>
      </w:r>
      <w:r>
        <w:rPr>
          <w:b/>
        </w:rPr>
        <w:t>2,56x</w:t>
      </w:r>
      <w:r>
        <w:t xml:space="preserve"> sobre não ler o texto e de </w:t>
      </w:r>
      <w:r>
        <w:rPr>
          <w:b/>
        </w:rPr>
        <w:t>1,84x</w:t>
      </w:r>
      <w:r>
        <w:t xml:space="preserve"> sobre a regra de dicionário. A regra de dicionário não é espantalho: ela é o que alguém monta numa tarde, e ela sozinha já acerta um dos temas em dois terços dos casos.</w:t>
      </w:r>
    </w:p>
    <w:p>
      <w:pPr>
        <w:jc w:val="both"/>
      </w:pPr>
      <w:r>
        <w:rPr>
          <w:b/>
        </w:rPr>
        <w:t>A distância entre micro e macro é o resultado</w:t>
      </w:r>
      <w:r>
        <w:t>, não um detalhe: 0,069. Ela mede o quanto o modelo funciona apenas nos temas comuns. Reportar só o micro-F1 esconderia que a taxonomia inteira não está coberta.</w:t>
      </w:r>
    </w:p>
    <w:p>
      <w:pPr>
        <w:pStyle w:val="Heading2"/>
      </w:pPr>
      <w:r>
        <w:t>Quando o modelo deve calar</w:t>
      </w:r>
    </w:p>
    <w:p>
      <w:pPr>
        <w:jc w:val="both"/>
      </w:pPr>
      <w:r>
        <w:t>Num produto de monitoramento, errar o tema manda o documento para a mesa errada e isso só é descoberto tarde. A pergunta de produto é a curva de cobertura: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corte de confiança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micro-F1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macro-F1</w:t>
            </w:r>
          </w:p>
        </w:tc>
      </w:tr>
      <w:tr>
        <w:tc>
          <w:tcPr>
            <w:tcW w:type="dxa" w:w="2160"/>
          </w:tcPr>
          <w:p>
            <w:r>
              <w:t>0,358</w:t>
            </w:r>
          </w:p>
        </w:tc>
        <w:tc>
          <w:tcPr>
            <w:tcW w:type="dxa" w:w="2160"/>
          </w:tcPr>
          <w:p>
            <w:r>
              <w:t>99,9%</w:t>
            </w:r>
          </w:p>
        </w:tc>
        <w:tc>
          <w:tcPr>
            <w:tcW w:type="dxa" w:w="2160"/>
          </w:tcPr>
          <w:p>
            <w:r>
              <w:t>0,542</w:t>
            </w:r>
          </w:p>
        </w:tc>
        <w:tc>
          <w:tcPr>
            <w:tcW w:type="dxa" w:w="2160"/>
          </w:tcPr>
          <w:p>
            <w:r>
              <w:t>0,473</w:t>
            </w:r>
          </w:p>
        </w:tc>
      </w:tr>
      <w:tr>
        <w:tc>
          <w:tcPr>
            <w:tcW w:type="dxa" w:w="2160"/>
          </w:tcPr>
          <w:p>
            <w:r>
              <w:t>0,636</w:t>
            </w:r>
          </w:p>
        </w:tc>
        <w:tc>
          <w:tcPr>
            <w:tcW w:type="dxa" w:w="2160"/>
          </w:tcPr>
          <w:p>
            <w:r>
              <w:t>80,0%</w:t>
            </w:r>
          </w:p>
        </w:tc>
        <w:tc>
          <w:tcPr>
            <w:tcW w:type="dxa" w:w="2160"/>
          </w:tcPr>
          <w:p>
            <w:r>
              <w:t>0,604</w:t>
            </w:r>
          </w:p>
        </w:tc>
        <w:tc>
          <w:tcPr>
            <w:tcW w:type="dxa" w:w="2160"/>
          </w:tcPr>
          <w:p>
            <w:r>
              <w:t>0,534</w:t>
            </w:r>
          </w:p>
        </w:tc>
      </w:tr>
      <w:tr>
        <w:tc>
          <w:tcPr>
            <w:tcW w:type="dxa" w:w="2160"/>
          </w:tcPr>
          <w:p>
            <w:r>
              <w:t>0,835</w:t>
            </w:r>
          </w:p>
        </w:tc>
        <w:tc>
          <w:tcPr>
            <w:tcW w:type="dxa" w:w="2160"/>
          </w:tcPr>
          <w:p>
            <w:r>
              <w:t>50,0%</w:t>
            </w:r>
          </w:p>
        </w:tc>
        <w:tc>
          <w:tcPr>
            <w:tcW w:type="dxa" w:w="2160"/>
          </w:tcPr>
          <w:p>
            <w:r>
              <w:t>0,653</w:t>
            </w:r>
          </w:p>
        </w:tc>
        <w:tc>
          <w:tcPr>
            <w:tcW w:type="dxa" w:w="2160"/>
          </w:tcPr>
          <w:p>
            <w:r>
              <w:t>0,591</w:t>
            </w:r>
          </w:p>
        </w:tc>
      </w:tr>
      <w:tr>
        <w:tc>
          <w:tcPr>
            <w:tcW w:type="dxa" w:w="2160"/>
          </w:tcPr>
          <w:p>
            <w:r>
              <w:t>0,972</w:t>
            </w:r>
          </w:p>
        </w:tc>
        <w:tc>
          <w:tcPr>
            <w:tcW w:type="dxa" w:w="2160"/>
          </w:tcPr>
          <w:p>
            <w:r>
              <w:t>10,0%</w:t>
            </w:r>
          </w:p>
        </w:tc>
        <w:tc>
          <w:tcPr>
            <w:tcW w:type="dxa" w:w="2160"/>
          </w:tcPr>
          <w:p>
            <w:r>
              <w:t>0,694</w:t>
            </w:r>
          </w:p>
        </w:tc>
        <w:tc>
          <w:tcPr>
            <w:tcW w:type="dxa" w:w="2160"/>
          </w:tcPr>
          <w:p>
            <w:r>
              <w:t>0,610</w:t>
            </w:r>
          </w:p>
        </w:tc>
      </w:tr>
    </w:tbl>
    <w:p/>
    <w:p>
      <w:pPr>
        <w:jc w:val="both"/>
      </w:pPr>
      <w:r>
        <w:rPr>
          <w:b/>
        </w:rPr>
        <w:t>A resposta honesta é que não dá.</w:t>
      </w:r>
      <w:r>
        <w:t xml:space="preserve"> O alvo de 0,70 de micro-F1 não é alcançado em cobertura nenhuma: o melhor ponto da curva é 0,694, respondendo 10% dos casos. Com este modelo, apertar o corte de confiança não compra qualidade suficiente, e o caminho é melhorar o modelo e não o corte.</w:t>
      </w:r>
    </w:p>
    <w:p>
      <w:pPr>
        <w:jc w:val="both"/>
      </w:pPr>
      <w:r>
        <w:t xml:space="preserve">Ganho máximo ao abster: </w:t>
      </w:r>
      <w:r>
        <w:rPr>
          <w:b/>
        </w:rPr>
        <w:t>+0,152</w:t>
      </w:r>
      <w:r>
        <w:t xml:space="preserve"> de micro-F1, custando 90% da vazão.</w:t>
      </w:r>
    </w:p>
    <w:p>
      <w:pPr>
        <w:pStyle w:val="Heading2"/>
      </w:pPr>
      <w:r>
        <w:t>A explicação vem do modelo que decide</w:t>
      </w:r>
    </w:p>
    <w:p>
      <w:pPr>
        <w:jc w:val="both"/>
      </w:pPr>
      <w:r>
        <w:t xml:space="preserve">O classificador é linear de propósito. Num setor regulado alguém vai perguntar por que a proposição foi para a mesa de tributário, e com modelo linear a resposta são os coeficientes do </w:t>
      </w:r>
      <w:r>
        <w:rPr>
          <w:b/>
        </w:rPr>
        <w:t>próprio</w:t>
      </w:r>
      <w:r>
        <w:t xml:space="preserve"> classificador, não uma aproximação posterior. Explicação que não vem do modelo que decidiu é uma segunda opinião.</w:t>
      </w:r>
    </w:p>
    <w:p>
      <w:pPr>
        <w:jc w:val="both"/>
      </w:pPr>
      <w:r>
        <w:rPr>
          <w:b/>
        </w:rPr>
        <w:t>Onde ele acerta, e o que pesa: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termos de maior peso</w:t>
            </w:r>
          </w:p>
        </w:tc>
      </w:tr>
      <w:tr>
        <w:tc>
          <w:tcPr>
            <w:tcW w:type="dxa" w:w="2160"/>
          </w:tcPr>
          <w:p>
            <w:r>
              <w:t>Homenagens e Datas Comemorativas</w:t>
            </w:r>
          </w:p>
        </w:tc>
        <w:tc>
          <w:tcPr>
            <w:tcW w:type="dxa" w:w="2160"/>
          </w:tcPr>
          <w:p>
            <w:r>
              <w:t>0,85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dia, nacional, denomina, declara</w:t>
            </w:r>
          </w:p>
        </w:tc>
      </w:tr>
      <w:tr>
        <w:tc>
          <w:tcPr>
            <w:tcW w:type="dxa" w:w="2160"/>
          </w:tcPr>
          <w:p>
            <w:r>
              <w:t>Viação, Transporte e Mobilidade</w:t>
            </w:r>
          </w:p>
        </w:tc>
        <w:tc>
          <w:tcPr>
            <w:tcW w:type="dxa" w:w="2160"/>
          </w:tcPr>
          <w:p>
            <w:r>
              <w:t>0,83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transporte, trânsito, veículos, passageiros</w:t>
            </w:r>
          </w:p>
        </w:tc>
      </w:tr>
      <w:tr>
        <w:tc>
          <w:tcPr>
            <w:tcW w:type="dxa" w:w="2160"/>
          </w:tcPr>
          <w:p>
            <w:r>
              <w:t>Direito Penal e Processual Penal</w:t>
            </w:r>
          </w:p>
        </w:tc>
        <w:tc>
          <w:tcPr>
            <w:tcW w:type="dxa" w:w="2160"/>
          </w:tcPr>
          <w:p>
            <w:r>
              <w:t>0,77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penal, crimes, decreto, crime</w:t>
            </w:r>
          </w:p>
        </w:tc>
      </w:tr>
      <w:tr>
        <w:tc>
          <w:tcPr>
            <w:tcW w:type="dxa" w:w="2160"/>
          </w:tcPr>
          <w:p>
            <w:r>
              <w:t>Educação</w:t>
            </w:r>
          </w:p>
        </w:tc>
        <w:tc>
          <w:tcPr>
            <w:tcW w:type="dxa" w:w="2160"/>
          </w:tcPr>
          <w:p>
            <w:r>
              <w:t>0,76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educação, ensino, escolas, escolar</w:t>
            </w:r>
          </w:p>
        </w:tc>
      </w:tr>
      <w:tr>
        <w:tc>
          <w:tcPr>
            <w:tcW w:type="dxa" w:w="2160"/>
          </w:tcPr>
          <w:p>
            <w:r>
              <w:t>Saúde</w:t>
            </w:r>
          </w:p>
        </w:tc>
        <w:tc>
          <w:tcPr>
            <w:tcW w:type="dxa" w:w="2160"/>
          </w:tcPr>
          <w:p>
            <w:r>
              <w:t>0,70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saúde, medicamentos, doenças, tratamento</w:t>
            </w:r>
          </w:p>
        </w:tc>
      </w:tr>
    </w:tbl>
    <w:p/>
    <w:p>
      <w:pPr>
        <w:jc w:val="both"/>
      </w:pPr>
      <w:r>
        <w:rPr>
          <w:b/>
        </w:rPr>
        <w:t>Onde ele erra, e por quê: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2160"/>
          </w:tcPr>
          <w:p>
            <w:r>
              <w:t>Direito Constitucional</w:t>
            </w:r>
          </w:p>
        </w:tc>
        <w:tc>
          <w:tcPr>
            <w:tcW w:type="dxa" w:w="2160"/>
          </w:tcPr>
          <w:p>
            <w:r>
              <w:t>0,01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sete casos no teste: não há o que aprender</w:t>
            </w:r>
          </w:p>
        </w:tc>
      </w:tr>
      <w:tr>
        <w:tc>
          <w:tcPr>
            <w:tcW w:type="dxa" w:w="2160"/>
          </w:tcPr>
          <w:p>
            <w:r>
              <w:t>Relações Internacionais</w:t>
            </w:r>
          </w:p>
        </w:tc>
        <w:tc>
          <w:tcPr>
            <w:tcW w:type="dxa" w:w="2160"/>
          </w:tcPr>
          <w:p>
            <w:r>
              <w:t>0,17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idem, e os termos que ele pegou são genéricos</w:t>
            </w:r>
          </w:p>
        </w:tc>
      </w:tr>
      <w:tr>
        <w:tc>
          <w:tcPr>
            <w:tcW w:type="dxa" w:w="2160"/>
          </w:tcPr>
          <w:p>
            <w:r>
              <w:t>Direito e Justiça</w:t>
            </w:r>
          </w:p>
        </w:tc>
        <w:tc>
          <w:tcPr>
            <w:tcW w:type="dxa" w:w="2160"/>
          </w:tcPr>
          <w:p>
            <w:r>
              <w:t>0,25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tema guarda-chuva, sobrepõe com quase todos</w:t>
            </w:r>
          </w:p>
        </w:tc>
      </w:tr>
      <w:tr>
        <w:tc>
          <w:tcPr>
            <w:tcW w:type="dxa" w:w="2160"/>
          </w:tcPr>
          <w:p>
            <w:r>
              <w:t>Esporte e Lazer</w:t>
            </w:r>
          </w:p>
        </w:tc>
        <w:tc>
          <w:tcPr>
            <w:tcW w:type="dxa" w:w="2160"/>
          </w:tcPr>
          <w:p>
            <w:r>
              <w:t>0,26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os termos estão certos (atletas, futebol), falta volume</w:t>
            </w:r>
          </w:p>
        </w:tc>
      </w:tr>
    </w:tbl>
    <w:p/>
    <w:p>
      <w:pPr>
        <w:jc w:val="both"/>
      </w:pPr>
      <w:r>
        <w:t xml:space="preserve">O padrão é claro e vale como diagnóstico: </w:t>
      </w:r>
      <w:r>
        <w:rPr>
          <w:b/>
        </w:rPr>
        <w:t>o modelo funciona onde há exemplos</w:t>
      </w:r>
      <w:r>
        <w:t>, e é exatamente isso que o macro-F1 cobra e o micro-F1 esconde.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05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_t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F1 por tema</w:t>
      </w:r>
    </w:p>
    <w:p>
      <w:pPr>
        <w:pStyle w:val="Heading2"/>
      </w:pPr>
      <w:r>
        <w:t>As decisões que mudam o número</w:t>
      </w:r>
    </w:p>
    <w:p>
      <w:pPr>
        <w:pStyle w:val="ListBullet"/>
      </w:pPr>
      <w:r>
        <w:rPr>
          <w:b/>
        </w:rPr>
        <w:t>divisão temporal, não aleatória.</w:t>
      </w:r>
      <w:r>
        <w:t xml:space="preserve"> Proposição sobre o mesmo assunto reaparece</w:t>
      </w:r>
    </w:p>
    <w:p>
      <w:pPr>
        <w:jc w:val="both"/>
      </w:pPr>
      <w:r>
        <w:t>a cada legislatura com ementa quase igual. Com divisão aleatória, a quase-cópia de 2023 cai no treino e a outra no teste, e o modelo parece entender texto quando está reconhecendo texto que já viu. Treino em 2022 e 2023, teste em 2024, que é também o uso real: treinar no passado e rodar no que chega amanhã;</w:t>
      </w:r>
    </w:p>
    <w:p>
      <w:pPr>
        <w:pStyle w:val="ListBullet"/>
      </w:pPr>
      <w:r>
        <w:rPr>
          <w:b/>
        </w:rPr>
        <w:t>um limiar por tema, ajustado na validação.</w:t>
      </w:r>
      <w:r>
        <w:t xml:space="preserve"> Limiar único para 32 temas de</w:t>
      </w:r>
    </w:p>
    <w:p>
      <w:pPr>
        <w:jc w:val="both"/>
      </w:pPr>
      <w:r>
        <w:t>frequências muito diferentes é simplicidade falsa: o corte que serve para um tema com 900 casos nunca dispara para um com 12;</w:t>
      </w:r>
    </w:p>
    <w:p>
      <w:pPr>
        <w:pStyle w:val="ListBullet"/>
      </w:pPr>
      <w:r>
        <w:rPr>
          <w:b/>
        </w:rPr>
        <w:t>`class_weight="balanced"`.</w:t>
      </w:r>
      <w:r>
        <w:t xml:space="preserve"> Sem ele os temas raros nunca disparam, o</w:t>
      </w:r>
    </w:p>
    <w:p>
      <w:pPr>
        <w:jc w:val="both"/>
      </w:pPr>
      <w:r>
        <w:t>macro-F1 desaba e o micro-F1 continua bonito;</w:t>
      </w:r>
    </w:p>
    <w:p>
      <w:pPr>
        <w:pStyle w:val="ListBullet"/>
      </w:pPr>
      <w:r>
        <w:rPr>
          <w:b/>
        </w:rPr>
        <w:t>rótulo sem casos no conjunto fica fora da média macro.</w:t>
      </w:r>
      <w:r>
        <w:t xml:space="preserve"> F1 de um rótulo que</w:t>
      </w:r>
    </w:p>
    <w:p>
      <w:pPr>
        <w:jc w:val="both"/>
      </w:pPr>
      <w:r>
        <w:t>não aparece é indefinido, não zero, e contá-lo como zero puniria o modelo por um rótulo que ele não teve chance de acertar;</w:t>
      </w:r>
    </w:p>
    <w:p>
      <w:pPr>
        <w:pStyle w:val="ListBullet"/>
      </w:pPr>
      <w:r>
        <w:rPr>
          <w:b/>
        </w:rPr>
        <w:t>acentos removidos na normalização.</w:t>
      </w:r>
      <w:r>
        <w:t xml:space="preserve"> Decisão com custo: "público" e "publico"</w:t>
      </w:r>
    </w:p>
    <w:p>
      <w:pPr>
        <w:jc w:val="both"/>
      </w:pPr>
      <w:r>
        <w:t>viram a mesma coisa, o que ajuda, mas também colide palavras diferentes. Vale aqui porque a ementa é escrita por muitas mãos e a acentuação varia, e um termo escrito dos dois jeitos viraria dois termos com metade da frequência cada.</w:t>
      </w:r>
    </w:p>
    <w:p>
      <w:pPr>
        <w:pStyle w:val="Heading2"/>
      </w:pPr>
      <w:r>
        <w:t>Por que não um transformador</w:t>
      </w:r>
    </w:p>
    <w:p>
      <w:pPr>
        <w:jc w:val="both"/>
      </w:pPr>
      <w:r>
        <w:t>Ele provavelmente ganharia. Não está aqui porque o projeto não teria como medir o ganho de forma honesta sem GPU e sem tempo de ajuste, e um número de um modelo mal ajustado é pior que nenhum número. O limite está declarado em vez de disfarçado, e o caminho está aberto: a interface dos candidatos é a mesma, e acrescentar um quarto modelo não muda nada no resto do projeto.</w:t>
      </w:r>
    </w:p>
    <w:p>
      <w:pPr>
        <w:pStyle w:val="Heading2"/>
      </w:pPr>
      <w:r>
        <w:t>O que este projeto não é</w:t>
      </w:r>
    </w:p>
    <w:p>
      <w:pPr>
        <w:pStyle w:val="ListBullet"/>
      </w:pPr>
      <w:r>
        <w:rPr>
          <w:b/>
        </w:rPr>
        <w:t>não é um produto pronto.</w:t>
      </w:r>
      <w:r>
        <w:t xml:space="preserve"> Com micro-F1 de 0,542 ele serve para priorizar uma</w:t>
      </w:r>
    </w:p>
    <w:p>
      <w:pPr>
        <w:jc w:val="both"/>
      </w:pPr>
      <w:r>
        <w:t>fila de leitura humana, não para substituí-la;</w:t>
      </w:r>
    </w:p>
    <w:p>
      <w:pPr>
        <w:pStyle w:val="ListBullet"/>
      </w:pPr>
      <w:r>
        <w:rPr>
          <w:b/>
        </w:rPr>
        <w:t>não vale para outra taxonomia.</w:t>
      </w:r>
      <w:r>
        <w:t xml:space="preserve"> Os 32 temas são os da Câmara, e a lista veio</w:t>
      </w:r>
    </w:p>
    <w:p>
      <w:pPr>
        <w:jc w:val="both"/>
      </w:pPr>
      <w:r>
        <w:t>da API, não foi inventada aqui;</w:t>
      </w:r>
    </w:p>
    <w:p>
      <w:pPr>
        <w:pStyle w:val="ListBullet"/>
      </w:pPr>
      <w:r>
        <w:rPr>
          <w:b/>
        </w:rPr>
        <w:t>não lê o inteiro teor.</w:t>
      </w:r>
      <w:r>
        <w:t xml:space="preserve"> A API traz o link do PDF, e usá-lo mudaria o</w:t>
      </w:r>
    </w:p>
    <w:p>
      <w:pPr>
        <w:jc w:val="both"/>
      </w:pPr>
      <w:r>
        <w:t>problema: mais texto, mais custo e provavelmente mais F1. O recorte está na ementa de propósito, porque é o que existe no minuto em que a proposição é apresentada.</w:t>
      </w:r>
    </w:p>
    <w:p>
      <w:pPr>
        <w:pStyle w:val="Heading2"/>
      </w:pPr>
      <w:r>
        <w:t>Estrutura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verbete/dominio/      avaliacao (multirrotulo, abstencao, limiar por rotulo)</w:t>
        <w:br/>
        <w:t>verbete/aplicacao/    classificador (os tres candidatos e a normalizacao)</w:t>
        <w:br/>
        <w:t>verbete/adaptadores/  camara (API de dados abertos, com paginacao e falhas)</w:t>
        <w:br/>
        <w:t>experimentos/         01 coletar, 02 treinar, 03 abstencao, 04 figuras</w:t>
        <w:br/>
        <w:t>testes/               41 testes</w:t>
      </w:r>
    </w:p>
    <w:p>
      <w:pPr>
        <w:jc w:val="both"/>
      </w:pPr>
      <w:r>
        <w:t>Nenhum teste chama a API. O que se verifica é a lógica de métrica e de modelo, com corpus sintético de resposta conhecida, porque teste que depende de serviço externo quebra a integração contínua por motivo que não tem a ver com o código.</w:t>
      </w:r>
    </w:p>
    <w:p>
      <w:pPr>
        <w:pStyle w:val="Heading2"/>
      </w:pPr>
      <w:r>
        <w:t>Fonte</w:t>
      </w:r>
    </w:p>
    <w:p>
      <w:pPr>
        <w:jc w:val="both"/>
      </w:pPr>
      <w:r>
        <w:t xml:space="preserve">Dados abertos da Câmara dos Deputados, </w:t>
      </w:r>
      <w:r>
        <w:rPr>
          <w:rFonts w:ascii="Consolas" w:hAnsi="Consolas"/>
          <w:sz w:val="19"/>
        </w:rPr>
        <w:t>https://dadosabertos.camara.leg.br/api/v2</w:t>
      </w:r>
      <w:r>
        <w:t xml:space="preserve">. Sem chave, sem cadastro. A taxonomia de temas vem de </w:t>
      </w:r>
      <w:r>
        <w:rPr>
          <w:rFonts w:ascii="Consolas" w:hAnsi="Consolas"/>
          <w:sz w:val="19"/>
        </w:rPr>
        <w:t>/referencias/proposicoes/codTema</w:t>
      </w:r>
      <w:r>
        <w:t xml:space="preserve">, e o recorte baixado está em </w:t>
      </w:r>
      <w:r>
        <w:rPr>
          <w:rFonts w:ascii="Consolas" w:hAnsi="Consolas"/>
          <w:sz w:val="19"/>
        </w:rPr>
        <w:t>resultados/cartao_do_dado.json</w:t>
      </w:r>
      <w:r>
        <w:t xml:space="preserve"> com data e contagem.</w:t>
      </w:r>
    </w:p>
    <w:p>
      <w:pPr>
        <w:pStyle w:val="Heading2"/>
      </w:pPr>
      <w:r>
        <w:t>Referências conferidas</w:t>
      </w:r>
    </w:p>
    <w:p>
      <w:pPr>
        <w:pStyle w:val="ListBullet"/>
      </w:pPr>
      <w:r>
        <w:t xml:space="preserve">Tsoumakas, G.; Katakis, I. (2007). </w:t>
      </w:r>
      <w:r>
        <w:rPr>
          <w:i/>
        </w:rPr>
        <w:t>Multi-label classification: an overview</w:t>
      </w:r>
    </w:p>
    <w:p>
      <w:pPr>
        <w:pStyle w:val="ListBullet"/>
      </w:pPr>
      <w:r>
        <w:t xml:space="preserve">Benjamini, Y.; Hochberg, Y. (1995). </w:t>
      </w:r>
      <w:r>
        <w:rPr>
          <w:i/>
        </w:rPr>
        <w:t>Controlling the false discovery rate</w:t>
      </w:r>
    </w:p>
    <w:p>
      <w:pPr>
        <w:pStyle w:val="ListBullet"/>
      </w:pPr>
      <w:r>
        <w:t>Peduzzi, P. et al. (1996). *A simulation study of the number of events per</w:t>
      </w:r>
    </w:p>
    <w:p>
      <w:pPr>
        <w:jc w:val="both"/>
      </w:pPr>
      <w:r>
        <w:t>variable in logistic regression analysis*</w:t>
      </w:r>
    </w:p>
    <w:p>
      <w:pPr>
        <w:pStyle w:val="ListBullet"/>
      </w:pPr>
      <w:r>
        <w:t>Câmara dos Deputados, Tabela de Temas das Proposições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