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521D" w14:textId="77777777" w:rsidR="00305A75" w:rsidRDefault="00000000">
      <w:pPr>
        <w:pStyle w:val="Ttulo"/>
      </w:pPr>
      <w:r>
        <w:t>Ata Executiva da Reunião sobre o Cartão Cred System</w:t>
      </w:r>
    </w:p>
    <w:p w14:paraId="379A1540" w14:textId="77777777" w:rsidR="00305A75" w:rsidRDefault="00000000">
      <w:pPr>
        <w:spacing w:after="180"/>
      </w:pPr>
      <w:r>
        <w:rPr>
          <w:b/>
          <w:color w:val="5B6573"/>
          <w:sz w:val="22"/>
        </w:rPr>
        <w:t>SAERJ  |  24 de setembro de 2026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948"/>
        <w:gridCol w:w="1531"/>
        <w:gridCol w:w="2948"/>
      </w:tblGrid>
      <w:tr w:rsidR="00305A75" w14:paraId="40C0B630" w14:textId="77777777">
        <w:trPr>
          <w:cantSplit/>
          <w:jc w:val="center"/>
        </w:trPr>
        <w:tc>
          <w:tcPr>
            <w:tcW w:w="1531" w:type="dxa"/>
            <w:shd w:val="clear" w:color="auto" w:fill="F4F6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D2E15B0" w14:textId="77777777" w:rsidR="00305A75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2948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C02C7D1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24/09/2026</w:t>
            </w:r>
          </w:p>
        </w:tc>
        <w:tc>
          <w:tcPr>
            <w:tcW w:w="1531" w:type="dxa"/>
            <w:shd w:val="clear" w:color="auto" w:fill="F4F6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1B896AE" w14:textId="77777777" w:rsidR="00305A75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w="2948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17997C8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09h28</w:t>
            </w:r>
          </w:p>
        </w:tc>
      </w:tr>
      <w:tr w:rsidR="00305A75" w14:paraId="48CE28BA" w14:textId="77777777">
        <w:trPr>
          <w:cantSplit/>
          <w:jc w:val="center"/>
        </w:trPr>
        <w:tc>
          <w:tcPr>
            <w:tcW w:w="1531" w:type="dxa"/>
            <w:shd w:val="clear" w:color="auto" w:fill="F4F6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C1A23CF" w14:textId="77777777" w:rsidR="00305A75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Duração</w:t>
            </w:r>
          </w:p>
        </w:tc>
        <w:tc>
          <w:tcPr>
            <w:tcW w:w="2948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1DC83E8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1h53min38s</w:t>
            </w:r>
          </w:p>
        </w:tc>
        <w:tc>
          <w:tcPr>
            <w:tcW w:w="1531" w:type="dxa"/>
            <w:shd w:val="clear" w:color="auto" w:fill="F4F6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3BD2E9B" w14:textId="77777777" w:rsidR="00305A75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Organizador</w:t>
            </w:r>
          </w:p>
        </w:tc>
        <w:tc>
          <w:tcPr>
            <w:tcW w:w="2948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BB1A32F" w14:textId="008C49AA" w:rsidR="00305A75" w:rsidRDefault="00305A75">
            <w:pPr>
              <w:spacing w:after="0" w:line="259" w:lineRule="auto"/>
            </w:pPr>
          </w:p>
        </w:tc>
      </w:tr>
      <w:tr w:rsidR="00305A75" w14:paraId="600655C9" w14:textId="77777777">
        <w:trPr>
          <w:cantSplit/>
          <w:jc w:val="center"/>
        </w:trPr>
        <w:tc>
          <w:tcPr>
            <w:tcW w:w="1531" w:type="dxa"/>
            <w:shd w:val="clear" w:color="auto" w:fill="F4F6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7FD3B91" w14:textId="77777777" w:rsidR="00305A75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Tema</w:t>
            </w:r>
          </w:p>
        </w:tc>
        <w:tc>
          <w:tcPr>
            <w:tcW w:w="2948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8E2F4E8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Implantação do cartão</w:t>
            </w:r>
          </w:p>
        </w:tc>
        <w:tc>
          <w:tcPr>
            <w:tcW w:w="1531" w:type="dxa"/>
            <w:shd w:val="clear" w:color="auto" w:fill="F4F6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5DA29D7" w14:textId="77777777" w:rsidR="00305A75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Parceiro</w:t>
            </w:r>
          </w:p>
        </w:tc>
        <w:tc>
          <w:tcPr>
            <w:tcW w:w="2948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D841AD6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Cred System</w:t>
            </w:r>
          </w:p>
        </w:tc>
      </w:tr>
    </w:tbl>
    <w:p w14:paraId="0DEAB772" w14:textId="77777777" w:rsidR="008A0863" w:rsidRDefault="008A0863">
      <w:pPr>
        <w:pStyle w:val="Ttulo1"/>
      </w:pPr>
    </w:p>
    <w:p w14:paraId="6E15FC40" w14:textId="35761404" w:rsidR="00305A75" w:rsidRDefault="00000000">
      <w:pPr>
        <w:pStyle w:val="Ttulo1"/>
      </w:pPr>
      <w:proofErr w:type="spellStart"/>
      <w:r>
        <w:t>Resumo</w:t>
      </w:r>
      <w:proofErr w:type="spellEnd"/>
      <w:r>
        <w:t xml:space="preserve"> </w:t>
      </w:r>
      <w:proofErr w:type="spellStart"/>
      <w:r>
        <w:t>executivo</w:t>
      </w:r>
      <w:proofErr w:type="spellEnd"/>
    </w:p>
    <w:p w14:paraId="5C7B033B" w14:textId="77777777" w:rsidR="00305A75" w:rsidRDefault="00000000">
      <w:r>
        <w:t>A reunião avançou na definição das regras comerciais para o cartão em parceria com a Cred System. A maioria apoiou o valor mínimo de R$ 100 para parcelamento, e o parcelamento em duas vezes sem juros foi considerado um diferencial para conversão e atratividade. O cronograma desejado prevê operação antes do Natal, o que concentra a implantação em outubro e novembro.</w:t>
      </w:r>
    </w:p>
    <w:p w14:paraId="7637E27F" w14:textId="77777777" w:rsidR="00305A75" w:rsidRDefault="00000000">
      <w:r>
        <w:t>A decisão final ainda depende de validação jurídica, confirmação da DRE atualizada e alinhamento sobre o número de lojas e o faturamento que integrarão o contrato. Marcelo centralizará os encaminhamentos com o jurídico, a Cred System e os donos e diretores. Jessica apresentará aos diretores a proposta de valor mínimo.</w:t>
      </w:r>
    </w:p>
    <w:p w14:paraId="58F909D6" w14:textId="77777777" w:rsidR="00305A75" w:rsidRDefault="00000000">
      <w:pPr>
        <w:pStyle w:val="Ttulo1"/>
      </w:pPr>
      <w:r>
        <w:t>Objetivo da reunião</w:t>
      </w:r>
    </w:p>
    <w:p w14:paraId="64FB3F91" w14:textId="77777777" w:rsidR="00305A75" w:rsidRDefault="00000000">
      <w:r>
        <w:t>Alinhar as condições comerciais, financeiras, contratuais e operacionais para a implantação do cartão em parceria com a Cred System, com foco nas regras de parcelamento, nas promoções, na DRE, no escopo contratual e na viabilidade de lançamento antes do Natal de 2026.</w:t>
      </w:r>
    </w:p>
    <w:p w14:paraId="15C27BF0" w14:textId="77777777" w:rsidR="00305A75" w:rsidRDefault="00000000">
      <w:pPr>
        <w:pStyle w:val="Ttulo1"/>
      </w:pPr>
      <w:r>
        <w:t>Decisões e direcionamentos</w:t>
      </w:r>
    </w:p>
    <w:p w14:paraId="61196CFE" w14:textId="77777777" w:rsidR="00305A75" w:rsidRDefault="00000000">
      <w:pPr>
        <w:pStyle w:val="Commarcadores"/>
        <w:spacing w:after="80" w:line="269" w:lineRule="auto"/>
      </w:pPr>
      <w:r>
        <w:t>Adotar, por decisão majoritária do grupo, o valor mínimo de R$ 100 para parcelamento, sujeito à apresentação e ao alinhamento final com os diretores.</w:t>
      </w:r>
    </w:p>
    <w:p w14:paraId="27773F11" w14:textId="77777777" w:rsidR="00305A75" w:rsidRDefault="00000000">
      <w:pPr>
        <w:pStyle w:val="Commarcadores"/>
        <w:spacing w:after="80" w:line="269" w:lineRule="auto"/>
      </w:pPr>
      <w:r>
        <w:t>Tratar o parcelamento em duas vezes sem juros como diferencial comercial relevante para aumentar a conversão e a atratividade do cartão.</w:t>
      </w:r>
    </w:p>
    <w:p w14:paraId="24BB2D25" w14:textId="77777777" w:rsidR="00305A75" w:rsidRDefault="00000000">
      <w:pPr>
        <w:pStyle w:val="Commarcadores"/>
        <w:spacing w:after="80" w:line="269" w:lineRule="auto"/>
      </w:pPr>
      <w:r>
        <w:t>Estruturar as promoções vinculadas ao cartão de forma semelhante às promoções já utilizadas no aplicativo.</w:t>
      </w:r>
    </w:p>
    <w:p w14:paraId="3BBFA03C" w14:textId="77777777" w:rsidR="00305A75" w:rsidRDefault="00000000">
      <w:pPr>
        <w:pStyle w:val="Commarcadores"/>
        <w:spacing w:after="80" w:line="269" w:lineRule="auto"/>
      </w:pPr>
      <w:r>
        <w:t>Trabalhar com a meta de implantação antes do Natal, considerando outubro e novembro como a janela prática de execução.</w:t>
      </w:r>
    </w:p>
    <w:p w14:paraId="4172F5B0" w14:textId="77777777" w:rsidR="00305A75" w:rsidRDefault="00000000">
      <w:pPr>
        <w:pStyle w:val="Commarcadores"/>
        <w:spacing w:after="80" w:line="269" w:lineRule="auto"/>
      </w:pPr>
      <w:r>
        <w:t>Manter uma regra geral de valor mínimo para o cartão, pois o sistema não permite configurar um limite diferente por associado no cenário apresentado.</w:t>
      </w:r>
    </w:p>
    <w:p w14:paraId="72483D3F" w14:textId="77777777" w:rsidR="00305A75" w:rsidRDefault="00000000">
      <w:pPr>
        <w:pStyle w:val="Ttulo1"/>
        <w:pageBreakBefore/>
      </w:pPr>
      <w:r>
        <w:lastRenderedPageBreak/>
        <w:t>Pendências responsáveis e prazos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1871"/>
        <w:gridCol w:w="1701"/>
        <w:gridCol w:w="1134"/>
      </w:tblGrid>
      <w:tr w:rsidR="00305A75" w14:paraId="0821735B" w14:textId="77777777">
        <w:trPr>
          <w:cantSplit/>
          <w:tblHeader/>
          <w:jc w:val="center"/>
        </w:trPr>
        <w:tc>
          <w:tcPr>
            <w:tcW w:w="4535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6291B2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Pendência</w:t>
            </w:r>
          </w:p>
        </w:tc>
        <w:tc>
          <w:tcPr>
            <w:tcW w:w="1871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7C4496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w="1701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260100D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w="1134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A54893B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305A75" w14:paraId="1931AA76" w14:textId="77777777">
        <w:trPr>
          <w:cantSplit/>
          <w:jc w:val="center"/>
        </w:trPr>
        <w:tc>
          <w:tcPr>
            <w:tcW w:w="453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6531226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Encaminhar a matriz de riscos para análise jurídica.</w:t>
            </w:r>
          </w:p>
        </w:tc>
        <w:tc>
          <w:tcPr>
            <w:tcW w:w="1871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BEBF619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Marcelo</w:t>
            </w:r>
          </w:p>
        </w:tc>
        <w:tc>
          <w:tcPr>
            <w:tcW w:w="1701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64D030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 definir</w:t>
            </w:r>
          </w:p>
        </w:tc>
        <w:tc>
          <w:tcPr>
            <w:tcW w:w="113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37B3875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Pendente</w:t>
            </w:r>
          </w:p>
        </w:tc>
      </w:tr>
      <w:tr w:rsidR="00305A75" w14:paraId="405EB04F" w14:textId="77777777">
        <w:trPr>
          <w:cantSplit/>
          <w:jc w:val="center"/>
        </w:trPr>
        <w:tc>
          <w:tcPr>
            <w:tcW w:w="4535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1652F0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Confirmar com a Cred System a versão final e atualizada da DRE, com composição dos resultados, valores positivos e negativos e destinação dos valores.</w:t>
            </w:r>
          </w:p>
        </w:tc>
        <w:tc>
          <w:tcPr>
            <w:tcW w:w="1871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1CB2326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Marcelo e Cred System</w:t>
            </w:r>
          </w:p>
        </w:tc>
        <w:tc>
          <w:tcPr>
            <w:tcW w:w="1701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9103456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Antes da decisão final</w:t>
            </w:r>
          </w:p>
        </w:tc>
        <w:tc>
          <w:tcPr>
            <w:tcW w:w="1134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DB47E50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Pendente</w:t>
            </w:r>
          </w:p>
        </w:tc>
      </w:tr>
      <w:tr w:rsidR="00305A75" w14:paraId="08E63A5F" w14:textId="77777777">
        <w:trPr>
          <w:cantSplit/>
          <w:jc w:val="center"/>
        </w:trPr>
        <w:tc>
          <w:tcPr>
            <w:tcW w:w="453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B9E9A3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Esclarecer quantas lojas integrarão o contrato e qual faturamento será considerado.</w:t>
            </w:r>
          </w:p>
        </w:tc>
        <w:tc>
          <w:tcPr>
            <w:tcW w:w="1871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E902AAB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Marcelo e Cred System</w:t>
            </w:r>
          </w:p>
        </w:tc>
        <w:tc>
          <w:tcPr>
            <w:tcW w:w="1701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BC1BC69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Antes da decisão final</w:t>
            </w:r>
          </w:p>
        </w:tc>
        <w:tc>
          <w:tcPr>
            <w:tcW w:w="113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265DD44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Pendente</w:t>
            </w:r>
          </w:p>
        </w:tc>
      </w:tr>
      <w:tr w:rsidR="00305A75" w14:paraId="4D339033" w14:textId="77777777">
        <w:trPr>
          <w:cantSplit/>
          <w:jc w:val="center"/>
        </w:trPr>
        <w:tc>
          <w:tcPr>
            <w:tcW w:w="4535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359F8A0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Realizar reunião com a Cred System para detalhar promoções e funcionalidades do cartão.</w:t>
            </w:r>
          </w:p>
        </w:tc>
        <w:tc>
          <w:tcPr>
            <w:tcW w:w="1871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DA3C8C0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Marcelo</w:t>
            </w:r>
          </w:p>
        </w:tc>
        <w:tc>
          <w:tcPr>
            <w:tcW w:w="1701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F59312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 definir</w:t>
            </w:r>
          </w:p>
        </w:tc>
        <w:tc>
          <w:tcPr>
            <w:tcW w:w="1134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BC0C433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Pendente</w:t>
            </w:r>
          </w:p>
        </w:tc>
      </w:tr>
      <w:tr w:rsidR="00305A75" w14:paraId="70F1F0B0" w14:textId="77777777">
        <w:trPr>
          <w:cantSplit/>
          <w:jc w:val="center"/>
        </w:trPr>
        <w:tc>
          <w:tcPr>
            <w:tcW w:w="4535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2FCCCB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Organizar reunião com donos e diretores para buscar o fechamento do acordo de implantação.</w:t>
            </w:r>
          </w:p>
        </w:tc>
        <w:tc>
          <w:tcPr>
            <w:tcW w:w="1871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AD0608A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Marcelo</w:t>
            </w:r>
          </w:p>
        </w:tc>
        <w:tc>
          <w:tcPr>
            <w:tcW w:w="1701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7144AF9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 definir</w:t>
            </w:r>
          </w:p>
        </w:tc>
        <w:tc>
          <w:tcPr>
            <w:tcW w:w="1134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08D1F2D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Pendente</w:t>
            </w:r>
          </w:p>
        </w:tc>
      </w:tr>
      <w:tr w:rsidR="00305A75" w14:paraId="700E219B" w14:textId="77777777">
        <w:trPr>
          <w:cantSplit/>
          <w:jc w:val="center"/>
        </w:trPr>
        <w:tc>
          <w:tcPr>
            <w:tcW w:w="4535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CAB8D25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Apresentar aos diretores a proposta de valor mínimo de R$ 100 para parcelamento.</w:t>
            </w:r>
          </w:p>
        </w:tc>
        <w:tc>
          <w:tcPr>
            <w:tcW w:w="1871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C528C00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Jessica</w:t>
            </w:r>
          </w:p>
        </w:tc>
        <w:tc>
          <w:tcPr>
            <w:tcW w:w="1701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5D1A161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 definir</w:t>
            </w:r>
          </w:p>
        </w:tc>
        <w:tc>
          <w:tcPr>
            <w:tcW w:w="1134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6290E16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Pendente</w:t>
            </w:r>
          </w:p>
        </w:tc>
      </w:tr>
    </w:tbl>
    <w:p w14:paraId="692C1950" w14:textId="77777777" w:rsidR="00305A75" w:rsidRDefault="00000000">
      <w:pPr>
        <w:pStyle w:val="Ttulo1"/>
      </w:pPr>
      <w:r>
        <w:t>Riscos e medidas de controle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572"/>
        <w:gridCol w:w="4252"/>
      </w:tblGrid>
      <w:tr w:rsidR="00305A75" w14:paraId="52704C04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BD40261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3572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F6C27CA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4252" w:type="dxa"/>
            <w:shd w:val="clear" w:color="auto" w:fill="17365D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33F6772" w14:textId="77777777" w:rsidR="00305A75" w:rsidRDefault="00000000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Medida de controle</w:t>
            </w:r>
          </w:p>
        </w:tc>
      </w:tr>
      <w:tr w:rsidR="00305A75" w14:paraId="379E4CA8" w14:textId="77777777">
        <w:trPr>
          <w:cantSplit/>
          <w:jc w:val="center"/>
        </w:trPr>
        <w:tc>
          <w:tcPr>
            <w:tcW w:w="1417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92119DC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Cronograma</w:t>
            </w:r>
          </w:p>
        </w:tc>
        <w:tc>
          <w:tcPr>
            <w:tcW w:w="3572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5E9CFA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Atraso na validação e na contratação pode inviabilizar o lançamento antes do Natal.</w:t>
            </w:r>
          </w:p>
        </w:tc>
        <w:tc>
          <w:tcPr>
            <w:tcW w:w="4252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5D14058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Definir um cronograma reverso para outubro e novembro, com marcos e responsáveis.</w:t>
            </w:r>
          </w:p>
        </w:tc>
      </w:tr>
      <w:tr w:rsidR="00305A75" w14:paraId="3D80D1B7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EEF96F5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Financeiro</w:t>
            </w:r>
          </w:p>
        </w:tc>
        <w:tc>
          <w:tcPr>
            <w:tcW w:w="3572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587F0B3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DRE sem detalhamento ou versão desatualizada pode comprometer a avaliação econômica.</w:t>
            </w:r>
          </w:p>
        </w:tc>
        <w:tc>
          <w:tcPr>
            <w:tcW w:w="4252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CDF4C5A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Validar a versão final, a composição dos resultados e a destinação dos valores.</w:t>
            </w:r>
          </w:p>
        </w:tc>
      </w:tr>
      <w:tr w:rsidR="00305A75" w14:paraId="4E9EF3ED" w14:textId="77777777">
        <w:trPr>
          <w:cantSplit/>
          <w:jc w:val="center"/>
        </w:trPr>
        <w:tc>
          <w:tcPr>
            <w:tcW w:w="1417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11FA3C17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Contratual</w:t>
            </w:r>
          </w:p>
        </w:tc>
        <w:tc>
          <w:tcPr>
            <w:tcW w:w="3572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7DFF354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Escopo indefinido de lojas e faturamento pode gerar divergências no contrato.</w:t>
            </w:r>
          </w:p>
        </w:tc>
        <w:tc>
          <w:tcPr>
            <w:tcW w:w="4252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586C776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Registrar o universo de lojas e a base de faturamento antes da aprovação.</w:t>
            </w:r>
          </w:p>
        </w:tc>
      </w:tr>
      <w:tr w:rsidR="00305A75" w14:paraId="25C30957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300A0E4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Jurídico</w:t>
            </w:r>
          </w:p>
        </w:tc>
        <w:tc>
          <w:tcPr>
            <w:tcW w:w="3572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0A2923D9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Riscos contratuais podem permanecer sem tratamento se a matriz não for analisada a tempo.</w:t>
            </w:r>
          </w:p>
        </w:tc>
        <w:tc>
          <w:tcPr>
            <w:tcW w:w="4252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750E737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Priorizar o envio da matriz de riscos e registrar as condicionantes jurídicas.</w:t>
            </w:r>
          </w:p>
        </w:tc>
      </w:tr>
      <w:tr w:rsidR="00305A75" w14:paraId="1E954B40" w14:textId="77777777">
        <w:trPr>
          <w:cantSplit/>
          <w:jc w:val="center"/>
        </w:trPr>
        <w:tc>
          <w:tcPr>
            <w:tcW w:w="1417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464A18B6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Comercial</w:t>
            </w:r>
          </w:p>
        </w:tc>
        <w:tc>
          <w:tcPr>
            <w:tcW w:w="3572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3A2CA3F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Uma regra única de valor mínimo pode não atender igualmente aos diferentes associados.</w:t>
            </w:r>
          </w:p>
        </w:tc>
        <w:tc>
          <w:tcPr>
            <w:tcW w:w="4252" w:type="dxa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37359B58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Avaliar impactos por perfil de loja e acompanhar os resultados após o lançamento.</w:t>
            </w:r>
          </w:p>
        </w:tc>
      </w:tr>
      <w:tr w:rsidR="00305A75" w14:paraId="68A4D2FA" w14:textId="77777777">
        <w:trPr>
          <w:cantSplit/>
          <w:jc w:val="center"/>
        </w:trPr>
        <w:tc>
          <w:tcPr>
            <w:tcW w:w="1417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60748647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Governança</w:t>
            </w:r>
          </w:p>
        </w:tc>
        <w:tc>
          <w:tcPr>
            <w:tcW w:w="3572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71503C30" w14:textId="77777777" w:rsidR="00305A75" w:rsidRDefault="00000000">
            <w:pPr>
              <w:spacing w:after="0" w:line="259" w:lineRule="auto"/>
            </w:pPr>
            <w:r>
              <w:rPr>
                <w:sz w:val="18"/>
              </w:rPr>
              <w:t>Falta de alinhamento com donos e diretores pode postergar a decisão final.</w:t>
            </w:r>
          </w:p>
        </w:tc>
        <w:tc>
          <w:tcPr>
            <w:tcW w:w="4252" w:type="dxa"/>
            <w:shd w:val="clear" w:color="auto" w:fill="EAF1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14:paraId="2E21FAF2" w14:textId="77777777" w:rsidR="00305A75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Realizar reunião executiva com os pontos financeiros, jurídicos e operacionais consolidados.</w:t>
            </w:r>
          </w:p>
        </w:tc>
      </w:tr>
    </w:tbl>
    <w:p w14:paraId="163EC273" w14:textId="77777777" w:rsidR="00305A75" w:rsidRDefault="00000000">
      <w:pPr>
        <w:pStyle w:val="Ttulo1"/>
        <w:pageBreakBefore/>
      </w:pPr>
      <w:r>
        <w:lastRenderedPageBreak/>
        <w:t>Próximos passos</w:t>
      </w:r>
    </w:p>
    <w:p w14:paraId="00B67266" w14:textId="77777777" w:rsidR="00305A75" w:rsidRDefault="00000000">
      <w:pPr>
        <w:pStyle w:val="Numerada"/>
        <w:spacing w:after="80" w:line="269" w:lineRule="auto"/>
      </w:pPr>
      <w:r>
        <w:t>Concluir a análise jurídica da matriz de riscos.</w:t>
      </w:r>
    </w:p>
    <w:p w14:paraId="724F6481" w14:textId="77777777" w:rsidR="00305A75" w:rsidRDefault="00000000">
      <w:pPr>
        <w:pStyle w:val="Numerada"/>
        <w:spacing w:after="80" w:line="269" w:lineRule="auto"/>
      </w:pPr>
      <w:r>
        <w:t>Receber e validar a DRE final e atualizada da Cred System.</w:t>
      </w:r>
    </w:p>
    <w:p w14:paraId="6ACFA492" w14:textId="77777777" w:rsidR="00305A75" w:rsidRDefault="00000000">
      <w:pPr>
        <w:pStyle w:val="Numerada"/>
        <w:spacing w:after="80" w:line="269" w:lineRule="auto"/>
      </w:pPr>
      <w:r>
        <w:t>Fechar o escopo contratual, incluindo lojas participantes e faturamento considerado.</w:t>
      </w:r>
    </w:p>
    <w:p w14:paraId="3AE95639" w14:textId="77777777" w:rsidR="00305A75" w:rsidRDefault="00000000">
      <w:pPr>
        <w:pStyle w:val="Numerada"/>
        <w:spacing w:after="80" w:line="269" w:lineRule="auto"/>
      </w:pPr>
      <w:r>
        <w:t>Detalhar com a Cred System as funcionalidades e a mecânica das promoções.</w:t>
      </w:r>
    </w:p>
    <w:p w14:paraId="249D92D0" w14:textId="77777777" w:rsidR="00305A75" w:rsidRDefault="00000000">
      <w:pPr>
        <w:pStyle w:val="Numerada"/>
        <w:spacing w:after="80" w:line="269" w:lineRule="auto"/>
      </w:pPr>
      <w:r>
        <w:t>Submeter aos diretores a regra de valor mínimo de R$ 100.</w:t>
      </w:r>
    </w:p>
    <w:p w14:paraId="4C1601B0" w14:textId="77777777" w:rsidR="00305A75" w:rsidRDefault="00000000">
      <w:pPr>
        <w:pStyle w:val="Numerada"/>
        <w:spacing w:after="80" w:line="269" w:lineRule="auto"/>
      </w:pPr>
      <w:r>
        <w:t>Realizar reunião com donos e diretores para decisão sobre a implantação.</w:t>
      </w:r>
    </w:p>
    <w:p w14:paraId="034BABC3" w14:textId="77777777" w:rsidR="00305A75" w:rsidRDefault="00000000">
      <w:pPr>
        <w:pStyle w:val="Numerada"/>
        <w:spacing w:after="80" w:line="269" w:lineRule="auto"/>
      </w:pPr>
      <w:r>
        <w:t>Após a aprovação, formalizar um plano de implantação com entregas para outubro e novembro e meta de entrada em operação antes do Natal.</w:t>
      </w:r>
    </w:p>
    <w:p w14:paraId="0908FDC2" w14:textId="77777777" w:rsidR="00305A75" w:rsidRDefault="00000000">
      <w:pPr>
        <w:pStyle w:val="Ttulo1"/>
      </w:pPr>
      <w:r>
        <w:t>Critérios para decisão final</w:t>
      </w:r>
    </w:p>
    <w:p w14:paraId="38FBAB82" w14:textId="77777777" w:rsidR="00305A75" w:rsidRDefault="00000000">
      <w:pPr>
        <w:pStyle w:val="Commarcadores"/>
        <w:spacing w:after="80" w:line="269" w:lineRule="auto"/>
      </w:pPr>
      <w:r>
        <w:t>Parecer jurídico concluído sobre a matriz de riscos e o contrato.</w:t>
      </w:r>
    </w:p>
    <w:p w14:paraId="29EF7542" w14:textId="77777777" w:rsidR="00305A75" w:rsidRDefault="00000000">
      <w:pPr>
        <w:pStyle w:val="Commarcadores"/>
        <w:spacing w:after="80" w:line="269" w:lineRule="auto"/>
      </w:pPr>
      <w:r>
        <w:t>DRE final validada e compreendida pelos responsáveis pela decisão.</w:t>
      </w:r>
    </w:p>
    <w:p w14:paraId="627223C4" w14:textId="77777777" w:rsidR="00305A75" w:rsidRDefault="00000000">
      <w:pPr>
        <w:pStyle w:val="Commarcadores"/>
        <w:spacing w:after="80" w:line="269" w:lineRule="auto"/>
      </w:pPr>
      <w:r>
        <w:t>Quantidade de lojas e faturamento contratual formalmente definidos.</w:t>
      </w:r>
    </w:p>
    <w:p w14:paraId="4FD2F849" w14:textId="77777777" w:rsidR="00305A75" w:rsidRDefault="00000000">
      <w:pPr>
        <w:pStyle w:val="Commarcadores"/>
        <w:spacing w:after="80" w:line="269" w:lineRule="auto"/>
      </w:pPr>
      <w:r>
        <w:t>Aprovação dos donos e diretores sobre as regras comerciais e a implantação.</w:t>
      </w:r>
    </w:p>
    <w:p w14:paraId="6B8BD971" w14:textId="77777777" w:rsidR="00305A75" w:rsidRDefault="00000000">
      <w:pPr>
        <w:pStyle w:val="Commarcadores"/>
        <w:spacing w:after="80" w:line="269" w:lineRule="auto"/>
      </w:pPr>
      <w:r>
        <w:t>Cronograma de outubro e novembro considerado exequível pelos envolvidos.</w:t>
      </w:r>
    </w:p>
    <w:p w14:paraId="6F21A47B" w14:textId="77777777" w:rsidR="00305A75" w:rsidRDefault="00000000">
      <w:pPr>
        <w:pStyle w:val="Ttulo1"/>
      </w:pPr>
      <w:r>
        <w:t>Registro de premissas</w:t>
      </w:r>
    </w:p>
    <w:p w14:paraId="78AFFA31" w14:textId="77777777" w:rsidR="00305A75" w:rsidRDefault="00000000">
      <w:r>
        <w:t>Os prazos específicos não foram registrados nas notas disponíveis. Por isso, os itens sem data definida foram mantidos como a definir, e as atividades ligadas à aprovação foram posicionadas antes da decisão final. A meta de implantação antes do Natal permanece como referência de planejamento.</w:t>
      </w:r>
    </w:p>
    <w:sectPr w:rsidR="00305A75" w:rsidSect="0003461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55D9E" w14:textId="77777777" w:rsidR="00616E35" w:rsidRDefault="00616E35">
      <w:pPr>
        <w:spacing w:after="0" w:line="240" w:lineRule="auto"/>
      </w:pPr>
      <w:r>
        <w:separator/>
      </w:r>
    </w:p>
  </w:endnote>
  <w:endnote w:type="continuationSeparator" w:id="0">
    <w:p w14:paraId="6FA0A381" w14:textId="77777777" w:rsidR="00616E35" w:rsidRDefault="00616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E5080" w14:textId="77777777" w:rsidR="00305A75" w:rsidRDefault="00000000">
    <w:pPr>
      <w:pStyle w:val="Rodap"/>
      <w:spacing w:before="100"/>
      <w:jc w:val="center"/>
    </w:pPr>
    <w:proofErr w:type="spellStart"/>
    <w:proofErr w:type="gramStart"/>
    <w:r>
      <w:rPr>
        <w:color w:val="5B6573"/>
        <w:sz w:val="17"/>
      </w:rPr>
      <w:t>SAERJ</w:t>
    </w:r>
    <w:proofErr w:type="spellEnd"/>
    <w:r>
      <w:rPr>
        <w:color w:val="5B6573"/>
        <w:sz w:val="17"/>
      </w:rPr>
      <w:t xml:space="preserve">  |</w:t>
    </w:r>
    <w:proofErr w:type="gramEnd"/>
    <w:r>
      <w:rPr>
        <w:color w:val="5B6573"/>
        <w:sz w:val="17"/>
      </w:rPr>
      <w:t xml:space="preserve">  Ata </w:t>
    </w:r>
    <w:proofErr w:type="spellStart"/>
    <w:proofErr w:type="gramStart"/>
    <w:r>
      <w:rPr>
        <w:color w:val="5B6573"/>
        <w:sz w:val="17"/>
      </w:rPr>
      <w:t>Executiva</w:t>
    </w:r>
    <w:proofErr w:type="spellEnd"/>
    <w:r>
      <w:rPr>
        <w:color w:val="5B6573"/>
        <w:sz w:val="17"/>
      </w:rPr>
      <w:t xml:space="preserve">  |</w:t>
    </w:r>
    <w:proofErr w:type="gramEnd"/>
    <w:r>
      <w:rPr>
        <w:color w:val="5B6573"/>
        <w:sz w:val="17"/>
      </w:rPr>
      <w:t xml:space="preserve">  24/09/</w:t>
    </w:r>
    <w:proofErr w:type="gramStart"/>
    <w:r>
      <w:rPr>
        <w:color w:val="5B6573"/>
        <w:sz w:val="17"/>
      </w:rPr>
      <w:t>2026  |</w:t>
    </w:r>
    <w:proofErr w:type="gramEnd"/>
    <w:r>
      <w:rPr>
        <w:color w:val="5B6573"/>
        <w:sz w:val="17"/>
      </w:rPr>
      <w:t xml:space="preserve">  Página </w:t>
    </w:r>
    <w:r>
      <w:rPr>
        <w:color w:val="5B6573"/>
        <w:sz w:val="17"/>
      </w:rPr>
      <w:fldChar w:fldCharType="begin"/>
    </w:r>
    <w:r>
      <w:rPr>
        <w:color w:val="5B6573"/>
        <w:sz w:val="17"/>
      </w:rPr>
      <w:instrText xml:space="preserve"> PAGE </w:instrText>
    </w:r>
    <w:r w:rsidR="008A0863">
      <w:rPr>
        <w:color w:val="5B6573"/>
        <w:sz w:val="17"/>
      </w:rPr>
      <w:fldChar w:fldCharType="separate"/>
    </w:r>
    <w:r w:rsidR="008A0863">
      <w:rPr>
        <w:noProof/>
        <w:color w:val="5B6573"/>
        <w:sz w:val="17"/>
      </w:rPr>
      <w:t>1</w:t>
    </w:r>
    <w:r>
      <w:rPr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1A200" w14:textId="77777777" w:rsidR="00616E35" w:rsidRDefault="00616E35">
      <w:pPr>
        <w:spacing w:after="0" w:line="240" w:lineRule="auto"/>
      </w:pPr>
      <w:r>
        <w:separator/>
      </w:r>
    </w:p>
  </w:footnote>
  <w:footnote w:type="continuationSeparator" w:id="0">
    <w:p w14:paraId="50E5753F" w14:textId="77777777" w:rsidR="00616E35" w:rsidRDefault="00616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734979">
    <w:abstractNumId w:val="8"/>
  </w:num>
  <w:num w:numId="2" w16cid:durableId="1669286735">
    <w:abstractNumId w:val="6"/>
  </w:num>
  <w:num w:numId="3" w16cid:durableId="1267663175">
    <w:abstractNumId w:val="5"/>
  </w:num>
  <w:num w:numId="4" w16cid:durableId="1057973398">
    <w:abstractNumId w:val="4"/>
  </w:num>
  <w:num w:numId="5" w16cid:durableId="321667310">
    <w:abstractNumId w:val="7"/>
  </w:num>
  <w:num w:numId="6" w16cid:durableId="1843005948">
    <w:abstractNumId w:val="3"/>
  </w:num>
  <w:num w:numId="7" w16cid:durableId="1042167514">
    <w:abstractNumId w:val="2"/>
  </w:num>
  <w:num w:numId="8" w16cid:durableId="578367718">
    <w:abstractNumId w:val="1"/>
  </w:num>
  <w:num w:numId="9" w16cid:durableId="97518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A75"/>
    <w:rsid w:val="00326F90"/>
    <w:rsid w:val="00616E35"/>
    <w:rsid w:val="008A0863"/>
    <w:rsid w:val="009D65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854C5D"/>
  <w14:defaultImageDpi w14:val="300"/>
  <w15:docId w15:val="{32DC0929-0077-4A89-9686-AD77EE7E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795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Executiva da Reunião sobre o Cartão Cred System</dc:title>
  <dc:subject>Decisões, pendências, riscos e próximos passos da reunião de 24 de setembro de 2026</dc:subject>
  <dc:creator>SAERJ</dc:creator>
  <cp:keywords>SAERJ, Cred System, cartão, ata executiva, reunião</cp:keywords>
  <dc:description>generated by python-docx</dc:description>
  <cp:lastModifiedBy>Fabricio Medeiros</cp:lastModifiedBy>
  <cp:revision>2</cp:revision>
  <dcterms:created xsi:type="dcterms:W3CDTF">2013-12-23T23:15:00Z</dcterms:created>
  <dcterms:modified xsi:type="dcterms:W3CDTF">2026-09-24T17:44:00Z</dcterms:modified>
  <cp:category/>
</cp:coreProperties>
</file>