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 w:eastAsia="Aptos"/>
        </w:rPr>
        <w:t>Resumo Executivo da Base Centralizada de Histórico Funcional</w:t>
      </w:r>
    </w:p>
    <w:p>
      <w:pPr>
        <w:spacing w:after="200"/>
      </w:pPr>
      <w:r>
        <w:rPr>
          <w:rFonts w:ascii="Aptos" w:hAnsi="Aptos" w:eastAsia="Aptos"/>
          <w:b/>
          <w:color w:val="404040"/>
          <w:sz w:val="21"/>
        </w:rPr>
        <w:t>SAERJ-IDEIA-001  |  Portfólio SAERJ  |  24 de setembro de 2026</w:t>
      </w:r>
    </w:p>
    <w:p>
      <w:pPr>
        <w:spacing w:after="160"/>
      </w:pPr>
      <w:r>
        <w:rPr>
          <w:rFonts w:ascii="Aptos" w:hAnsi="Aptos" w:eastAsia="Aptos"/>
          <w:b/>
        </w:rPr>
        <w:t xml:space="preserve">Conclusão executiva. </w:t>
      </w:r>
      <w:r>
        <w:rPr>
          <w:rFonts w:ascii="Aptos" w:hAnsi="Aptos" w:eastAsia="Aptos"/>
        </w:rPr>
        <w:t>A iniciativa deve permanecer no backlog enquanto a SAERJ valida a necessidade de negócio, a legitimidade de cada uso e a viabilidade das integrações. A recomendação atual é autorizar somente uma etapa de descoberta e desenho, sem execução, orçamento ou tratamento de dados pessoais reais.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268"/>
        <w:gridCol w:w="7483"/>
      </w:tblGrid>
      <w:tr>
        <w:trPr>
          <w:tblHeader w:val="true"/>
        </w:trP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748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Síntese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D9EAF7"/>
          </w:tcPr>
          <w:p>
            <w:pPr>
              <w:spacing w:after="0"/>
              <w:jc w:val="left"/>
            </w:pPr>
            <w:r>
              <w:rPr>
                <w:b/>
              </w:rPr>
              <w:t>Estado</w:t>
            </w:r>
          </w:p>
        </w:tc>
        <w:tc>
          <w:tcPr>
            <w:tcW w:type="dxa" w:w="748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t>Backlog - em descoberta; portão da rodada 1 aguardando decisão.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D9EAF7"/>
          </w:tcPr>
          <w:p>
            <w:pPr>
              <w:spacing w:after="0"/>
              <w:jc w:val="left"/>
            </w:pPr>
            <w:r>
              <w:rPr>
                <w:b/>
              </w:rPr>
              <w:t>Problema em avaliação</w:t>
            </w:r>
          </w:p>
        </w:tc>
        <w:tc>
          <w:tcPr>
            <w:tcW w:type="dxa" w:w="748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t>Informações funcionais potencialmente fragmentadas entre associados e diferentes sistemas de RH.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D9EAF7"/>
          </w:tcPr>
          <w:p>
            <w:pPr>
              <w:spacing w:after="0"/>
              <w:jc w:val="left"/>
            </w:pPr>
            <w:r>
              <w:rPr>
                <w:b/>
              </w:rPr>
              <w:t>Direção do produto</w:t>
            </w:r>
          </w:p>
        </w:tc>
        <w:tc>
          <w:tcPr>
            <w:tcW w:type="dxa" w:w="748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t>Desenvolver capacidade própria sob governança da SAERJ, integrada às fontes autorizadas.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D9EAF7"/>
          </w:tcPr>
          <w:p>
            <w:pPr>
              <w:spacing w:after="0"/>
              <w:jc w:val="left"/>
            </w:pPr>
            <w:r>
              <w:rPr>
                <w:b/>
              </w:rPr>
              <w:t>Decisão requerida</w:t>
            </w:r>
          </w:p>
        </w:tc>
        <w:tc>
          <w:tcPr>
            <w:tcW w:type="dxa" w:w="748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t>Validar se a ideia deve avançar para definição após a descoberta jurídica, operacional e técnica.</w:t>
            </w:r>
          </w:p>
        </w:tc>
      </w:tr>
    </w:tbl>
    <w:p>
      <w:pPr>
        <w:pStyle w:val="Heading1"/>
      </w:pPr>
      <w:r>
        <w:rPr>
          <w:rFonts w:ascii="Aptos" w:hAnsi="Aptos" w:eastAsia="Aptos"/>
        </w:rPr>
        <w:t>Oportunidade e objetivo</w:t>
      </w:r>
    </w:p>
    <w:p>
      <w:r>
        <w:rPr>
          <w:rFonts w:ascii="Aptos" w:hAnsi="Aptos" w:eastAsia="Aptos"/>
        </w:rPr>
        <w:t>A SAERJ avalia centralizar a consulta de vínculos trabalhistas mantidos pelos associados. A busca seria realizada por CPF protegido e poderia retornar associado, datas de admissão e desligamento, origem e atualização do registro e, somente se a necessidade for comprovada, motivo de desligamento e advertências. O objetivo é reduzir consultas manuais dispersas e melhorar consistência, rastreabilidade e governança.</w:t>
      </w:r>
    </w:p>
    <w:p>
      <w:r>
        <w:rPr>
          <w:rFonts w:ascii="Aptos" w:hAnsi="Aptos" w:eastAsia="Aptos"/>
        </w:rPr>
        <w:t>O valor esperado ainda é hipótese. Não há linha de base confirmada sobre volume de consultas, tempo gasto, custo, erros ou frequência de divergências. Esses dados precisam ser levantados antes de definir investimento ou meta.</w:t>
      </w:r>
    </w:p>
    <w:p>
      <w:pPr>
        <w:pStyle w:val="Heading1"/>
      </w:pPr>
      <w:r>
        <w:rPr>
          <w:rFonts w:ascii="Aptos" w:hAnsi="Aptos" w:eastAsia="Aptos"/>
        </w:rPr>
        <w:t>Escopo executivo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fill="1F4E7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Incluído na avaliação</w:t>
            </w:r>
          </w:p>
        </w:tc>
        <w:tc>
          <w:tcPr>
            <w:tcW w:type="dxa" w:w="4876"/>
            <w:shd w:fill="1F4E7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Fora do escopo ou suspenso</w:t>
            </w:r>
          </w:p>
        </w:tc>
      </w:tr>
      <w:tr>
        <w:tc>
          <w:tcPr>
            <w:tcW w:type="dxa" w:w="4876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50"/>
              <w:ind w:left="170" w:hanging="113"/>
            </w:pPr>
            <w:r/>
            <w:r>
              <w:t xml:space="preserve">• </w:t>
            </w:r>
            <w:r>
              <w:t>Diagnóstico dos casos de uso e do processo atual</w:t>
            </w:r>
          </w:p>
          <w:p>
            <w:pPr>
              <w:spacing w:after="50"/>
              <w:ind w:left="170" w:hanging="113"/>
            </w:pPr>
            <w:r>
              <w:t xml:space="preserve">• </w:t>
            </w:r>
            <w:r>
              <w:t>Inventário de associados, dados, sistemas e versões</w:t>
            </w:r>
          </w:p>
          <w:p>
            <w:pPr>
              <w:spacing w:after="50"/>
              <w:ind w:left="170" w:hanging="113"/>
            </w:pPr>
            <w:r>
              <w:t xml:space="preserve">• </w:t>
            </w:r>
            <w:r>
              <w:t>Alternativas entre centralização, consulta federada e melhoria de processo</w:t>
            </w:r>
          </w:p>
          <w:p>
            <w:pPr>
              <w:spacing w:after="50"/>
              <w:ind w:left="170" w:hanging="113"/>
            </w:pPr>
            <w:r>
              <w:t xml:space="preserve">• </w:t>
            </w:r>
            <w:r>
              <w:t>Arquitetura de acesso, segregação, integração e auditoria</w:t>
            </w:r>
          </w:p>
          <w:p>
            <w:pPr>
              <w:spacing w:after="50"/>
              <w:ind w:left="170" w:hanging="113"/>
            </w:pPr>
            <w:r>
              <w:t xml:space="preserve">• </w:t>
            </w:r>
            <w:r>
              <w:t>Prova de conceito com dados sintéticos ou efetivamente anonimizados</w:t>
            </w:r>
          </w:p>
        </w:tc>
        <w:tc>
          <w:tcPr>
            <w:tcW w:type="dxa" w:w="4876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50"/>
              <w:ind w:left="170" w:hanging="113"/>
            </w:pPr>
            <w:r/>
            <w:r>
              <w:t xml:space="preserve">• </w:t>
            </w:r>
            <w:r>
              <w:t>Aquisição ou adoção de solução pronta</w:t>
            </w:r>
          </w:p>
          <w:p>
            <w:pPr>
              <w:spacing w:after="50"/>
              <w:ind w:left="170" w:hanging="113"/>
            </w:pPr>
            <w:r>
              <w:t xml:space="preserve">• </w:t>
            </w:r>
            <w:r>
              <w:t>Blacklist, ranking de risco ou recomendação automática</w:t>
            </w:r>
          </w:p>
          <w:p>
            <w:pPr>
              <w:spacing w:after="50"/>
              <w:ind w:left="170" w:hanging="113"/>
            </w:pPr>
            <w:r>
              <w:t xml:space="preserve">• </w:t>
            </w:r>
            <w:r>
              <w:t>Consulta aberta ou compartilhamento integral das bases de RH</w:t>
            </w:r>
          </w:p>
          <w:p>
            <w:pPr>
              <w:spacing w:after="50"/>
              <w:ind w:left="170" w:hanging="113"/>
            </w:pPr>
            <w:r>
              <w:t xml:space="preserve">• </w:t>
            </w:r>
            <w:r>
              <w:t>Uso de dados reais antes das aprovações necessárias</w:t>
            </w:r>
          </w:p>
          <w:p>
            <w:pPr>
              <w:spacing w:after="50"/>
              <w:ind w:left="170" w:hanging="113"/>
            </w:pPr>
            <w:r>
              <w:t xml:space="preserve">• </w:t>
            </w:r>
            <w:r>
              <w:t>Levantamento de ações judiciais, suspenso até parecer jurídico e decisão específica</w:t>
            </w:r>
          </w:p>
        </w:tc>
      </w:tr>
    </w:tbl>
    <w:p>
      <w:r>
        <w:rPr>
          <w:rFonts w:ascii="Aptos" w:hAnsi="Aptos" w:eastAsia="Aptos"/>
        </w:rPr>
        <w:br w:type="page"/>
      </w:r>
    </w:p>
    <w:p>
      <w:pPr>
        <w:pStyle w:val="Heading1"/>
      </w:pPr>
      <w:r>
        <w:rPr>
          <w:rFonts w:ascii="Aptos" w:hAnsi="Aptos" w:eastAsia="Aptos"/>
        </w:rPr>
        <w:t>Proposta de capacidade</w:t>
      </w:r>
    </w:p>
    <w:p>
      <w:pPr>
        <w:pStyle w:val="ListBullet"/>
        <w:spacing w:after="60"/>
        <w:ind w:left="255" w:hanging="142"/>
      </w:pPr>
      <w:r>
        <w:rPr>
          <w:rFonts w:ascii="Aptos" w:hAnsi="Aptos" w:eastAsia="Aptos"/>
        </w:rPr>
        <w:t>Consulta por CPF somente por usuário autorizado, com finalidade e justificativa registradas.</w:t>
      </w:r>
    </w:p>
    <w:p>
      <w:pPr>
        <w:pStyle w:val="ListBullet"/>
        <w:spacing w:after="60"/>
        <w:ind w:left="255" w:hanging="142"/>
      </w:pPr>
      <w:r>
        <w:rPr>
          <w:rFonts w:ascii="Aptos" w:hAnsi="Aptos" w:eastAsia="Aptos"/>
        </w:rPr>
        <w:t>Vínculos por associado com datas de admissão e desligamento, origem, atualização e confiabilidade.</w:t>
      </w:r>
    </w:p>
    <w:p>
      <w:pPr>
        <w:pStyle w:val="ListBullet"/>
        <w:spacing w:after="60"/>
        <w:ind w:left="255" w:hanging="142"/>
      </w:pPr>
      <w:r>
        <w:rPr>
          <w:rFonts w:ascii="Aptos" w:hAnsi="Aptos" w:eastAsia="Aptos"/>
        </w:rPr>
        <w:t>Integrações próprias com Alterdata, TOTVS RM e outras fontes por APIs, arquivos ou conectores aprovados.</w:t>
      </w:r>
    </w:p>
    <w:p>
      <w:pPr>
        <w:pStyle w:val="ListBullet"/>
        <w:spacing w:after="60"/>
        <w:ind w:left="255" w:hanging="142"/>
      </w:pPr>
      <w:r>
        <w:rPr>
          <w:rFonts w:ascii="Aptos" w:hAnsi="Aptos" w:eastAsia="Aptos"/>
        </w:rPr>
        <w:t>Perfis de menor privilégio, segregação entre associados, criptografia, monitoramento e trilha de auditoria.</w:t>
      </w:r>
    </w:p>
    <w:p>
      <w:pPr>
        <w:pStyle w:val="ListBullet"/>
        <w:spacing w:after="60"/>
        <w:ind w:left="255" w:hanging="142"/>
      </w:pPr>
      <w:r>
        <w:rPr>
          <w:rFonts w:ascii="Aptos" w:hAnsi="Aptos" w:eastAsia="Aptos"/>
        </w:rPr>
        <w:t>Processos de acesso, correção, contestação, retenção, bloqueio e descarte de dados.</w:t>
      </w:r>
    </w:p>
    <w:p>
      <w:pPr>
        <w:pStyle w:val="Heading1"/>
      </w:pPr>
      <w:r>
        <w:rPr>
          <w:rFonts w:ascii="Aptos" w:hAnsi="Aptos" w:eastAsia="Aptos"/>
        </w:rPr>
        <w:t>Riscos críticos e respostas iniciais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835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Risco</w:t>
            </w:r>
          </w:p>
        </w:tc>
        <w:tc>
          <w:tcPr>
            <w:tcW w:type="dxa" w:w="1474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Criticidade</w:t>
            </w:r>
          </w:p>
        </w:tc>
        <w:tc>
          <w:tcPr>
            <w:tcW w:type="dxa" w:w="5443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Resposta inicial</w:t>
            </w:r>
          </w:p>
        </w:tc>
      </w:tr>
      <w:tr>
        <w:tc>
          <w:tcPr>
            <w:tcW w:type="dxa" w:w="2835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Uso discriminatório do histórico funcional</w:t>
            </w:r>
          </w:p>
        </w:tc>
        <w:tc>
          <w:tcPr>
            <w:tcW w:type="dxa" w:w="1474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Muito alta</w:t>
            </w:r>
          </w:p>
        </w:tc>
        <w:tc>
          <w:tcPr>
            <w:tcW w:type="dxa" w:w="5443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Proibir listas restritivas, ranking e decisão automática; manter ações judiciais suspensas.</w:t>
            </w:r>
          </w:p>
        </w:tc>
      </w:tr>
      <w:tr>
        <w:tc>
          <w:tcPr>
            <w:tcW w:type="dxa" w:w="2835"/>
            <w:shd w:fill="F3F7FA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Finalidade ou base legal inadequada</w:t>
            </w:r>
          </w:p>
        </w:tc>
        <w:tc>
          <w:tcPr>
            <w:tcW w:type="dxa" w:w="1474"/>
            <w:shd w:fill="F3F7FA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Alta</w:t>
            </w:r>
          </w:p>
        </w:tc>
        <w:tc>
          <w:tcPr>
            <w:tcW w:type="dxa" w:w="5443"/>
            <w:shd w:fill="F3F7FA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Definir finalidade e hipótese legal por campo e fluxo; avaliar RIPD e teste de balanceamento quando aplicável.</w:t>
            </w:r>
          </w:p>
        </w:tc>
      </w:tr>
      <w:tr>
        <w:tc>
          <w:tcPr>
            <w:tcW w:type="dxa" w:w="2835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Vazamento ou consulta indevida por CPF</w:t>
            </w:r>
          </w:p>
        </w:tc>
        <w:tc>
          <w:tcPr>
            <w:tcW w:type="dxa" w:w="1474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Muito alta</w:t>
            </w:r>
          </w:p>
        </w:tc>
        <w:tc>
          <w:tcPr>
            <w:tcW w:type="dxa" w:w="5443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Adotar autenticação forte, menor privilégio, criptografia, rate limit, monitoramento e auditoria.</w:t>
            </w:r>
          </w:p>
        </w:tc>
      </w:tr>
      <w:tr>
        <w:tc>
          <w:tcPr>
            <w:tcW w:type="dxa" w:w="2835"/>
            <w:shd w:fill="F3F7FA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Dados incorretos prejudicarem trabalhadores</w:t>
            </w:r>
          </w:p>
        </w:tc>
        <w:tc>
          <w:tcPr>
            <w:tcW w:type="dxa" w:w="1474"/>
            <w:shd w:fill="F3F7FA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Alta</w:t>
            </w:r>
          </w:p>
        </w:tc>
        <w:tc>
          <w:tcPr>
            <w:tcW w:type="dxa" w:w="5443"/>
            <w:shd w:fill="F3F7FA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Exibir origem e atualização; oferecer validação, contestação e correção; não automatizar decisões.</w:t>
            </w:r>
          </w:p>
        </w:tc>
      </w:tr>
      <w:tr>
        <w:tc>
          <w:tcPr>
            <w:tcW w:type="dxa" w:w="2835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Integrações incompatíveis ou instáveis</w:t>
            </w:r>
          </w:p>
        </w:tc>
        <w:tc>
          <w:tcPr>
            <w:tcW w:type="dxa" w:w="1474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Alta</w:t>
            </w:r>
          </w:p>
        </w:tc>
        <w:tc>
          <w:tcPr>
            <w:tcW w:type="dxa" w:w="5443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Inventariar módulos e versões; executar piloto representativo e tratar reconciliação e indisponibilidade.</w:t>
            </w:r>
          </w:p>
        </w:tc>
      </w:tr>
    </w:tbl>
    <w:p>
      <w:pPr>
        <w:pStyle w:val="Heading1"/>
      </w:pPr>
      <w:r>
        <w:rPr>
          <w:rFonts w:ascii="Aptos" w:hAnsi="Aptos" w:eastAsia="Aptos"/>
        </w:rPr>
        <w:t>Condições para avançar</w:t>
      </w:r>
    </w:p>
    <w:p>
      <w:pPr>
        <w:pStyle w:val="ListNumber"/>
        <w:spacing w:after="80"/>
        <w:ind w:left="283" w:hanging="170"/>
      </w:pPr>
      <w:r>
        <w:rPr>
          <w:rFonts w:ascii="Aptos" w:hAnsi="Aptos" w:eastAsia="Aptos"/>
          <w:b/>
        </w:rPr>
        <w:t xml:space="preserve">Definir os responsáveis. </w:t>
      </w:r>
      <w:r>
        <w:rPr>
          <w:rFonts w:ascii="Aptos" w:hAnsi="Aptos" w:eastAsia="Aptos"/>
        </w:rPr>
        <w:t>Nomear proponente, decisor, patrocinador potencial e representantes de RH, jurídico, privacidade, segurança e TI.</w:t>
      </w:r>
    </w:p>
    <w:p>
      <w:pPr>
        <w:pStyle w:val="ListNumber"/>
        <w:spacing w:after="80"/>
        <w:ind w:left="283" w:hanging="170"/>
      </w:pPr>
      <w:r>
        <w:rPr>
          <w:rFonts w:ascii="Aptos" w:hAnsi="Aptos" w:eastAsia="Aptos"/>
          <w:b/>
        </w:rPr>
        <w:t xml:space="preserve">Comprovar a necessidade. </w:t>
      </w:r>
      <w:r>
        <w:rPr>
          <w:rFonts w:ascii="Aptos" w:hAnsi="Aptos" w:eastAsia="Aptos"/>
        </w:rPr>
        <w:t>Documentar casos de uso e levantar volume, tempo, custo, erros e urgência do processo atual.</w:t>
      </w:r>
    </w:p>
    <w:p>
      <w:pPr>
        <w:pStyle w:val="ListNumber"/>
        <w:spacing w:after="80"/>
        <w:ind w:left="283" w:hanging="170"/>
      </w:pPr>
      <w:r>
        <w:rPr>
          <w:rFonts w:ascii="Aptos" w:hAnsi="Aptos" w:eastAsia="Aptos"/>
          <w:b/>
        </w:rPr>
        <w:t xml:space="preserve">Inventariar dados e integrações. </w:t>
      </w:r>
      <w:r>
        <w:rPr>
          <w:rFonts w:ascii="Aptos" w:hAnsi="Aptos" w:eastAsia="Aptos"/>
        </w:rPr>
        <w:t>Mapear associados, sistemas, módulos, versões, contratos, APIs, layouts e qualidade das fontes.</w:t>
      </w:r>
    </w:p>
    <w:p>
      <w:pPr>
        <w:pStyle w:val="ListNumber"/>
        <w:spacing w:after="80"/>
        <w:ind w:left="283" w:hanging="170"/>
      </w:pPr>
      <w:r>
        <w:rPr>
          <w:rFonts w:ascii="Aptos" w:hAnsi="Aptos" w:eastAsia="Aptos"/>
          <w:b/>
        </w:rPr>
        <w:t xml:space="preserve">Validar conformidade. </w:t>
      </w:r>
      <w:r>
        <w:rPr>
          <w:rFonts w:ascii="Aptos" w:hAnsi="Aptos" w:eastAsia="Aptos"/>
        </w:rPr>
        <w:t>Definir agentes de tratamento, bases legais, direitos dos titulares, retenção e necessidade de RIPD.</w:t>
      </w:r>
    </w:p>
    <w:p>
      <w:pPr>
        <w:pStyle w:val="ListNumber"/>
        <w:spacing w:after="80"/>
        <w:ind w:left="283" w:hanging="170"/>
      </w:pPr>
      <w:r>
        <w:rPr>
          <w:rFonts w:ascii="Aptos" w:hAnsi="Aptos" w:eastAsia="Aptos"/>
          <w:b/>
        </w:rPr>
        <w:t xml:space="preserve">Testar com segurança. </w:t>
      </w:r>
      <w:r>
        <w:rPr>
          <w:rFonts w:ascii="Aptos" w:hAnsi="Aptos" w:eastAsia="Aptos"/>
        </w:rPr>
        <w:t>Selecionar um cenário para prova de conceito sem dados pessoais reais e estabelecer critérios de sucesso e interrupção.</w:t>
      </w:r>
    </w:p>
    <w:p>
      <w:pPr>
        <w:pStyle w:val="Heading1"/>
      </w:pPr>
      <w:r>
        <w:rPr>
          <w:rFonts w:ascii="Aptos" w:hAnsi="Aptos" w:eastAsia="Aptos"/>
        </w:rPr>
        <w:t>Indicadores propostos</w:t>
      </w:r>
    </w:p>
    <w:p>
      <w:r>
        <w:rPr>
          <w:rFonts w:ascii="Aptos" w:hAnsi="Aptos" w:eastAsia="Aptos"/>
        </w:rPr>
        <w:t>O desempenho deverá ser medido por tempo de resposta, esforço manual do RH, cobertura das integrações, qualidade e atualização dos registros, percentual de acessos justificados e auditáveis, contestações e correções, incidentes de segurança e usos bloqueados por ausência de finalidade ou permissão. As metas serão definidas somente após a linha de base.</w:t>
      </w:r>
    </w:p>
    <w:p>
      <w:pPr>
        <w:pStyle w:val="Heading1"/>
      </w:pPr>
      <w:r>
        <w:rPr>
          <w:rFonts w:ascii="Aptos" w:hAnsi="Aptos" w:eastAsia="Aptos"/>
        </w:rPr>
        <w:t>Recomendação executiva</w:t>
      </w:r>
    </w:p>
    <w:p>
      <w:r>
        <w:rPr>
          <w:rFonts w:ascii="Aptos" w:hAnsi="Aptos" w:eastAsia="Aptos"/>
          <w:b/>
        </w:rPr>
        <w:t xml:space="preserve">Decisão recomendada: </w:t>
      </w:r>
      <w:r>
        <w:rPr>
          <w:rFonts w:ascii="Aptos" w:hAnsi="Aptos" w:eastAsia="Aptos"/>
        </w:rPr>
        <w:t>manter a ideia no backlog e autorizar uma etapa curta de descoberta multidisciplinar. Ao final, o decisor deverá escolher entre avançar para definição, reformular ou arquivar. Nenhuma integração ou tratamento de dados pessoais deverá começar antes dessa decisão e das aprovações aplicáveis.</w:t>
      </w:r>
    </w:p>
    <w:sectPr w:rsidR="00FC693F" w:rsidRPr="0006063C" w:rsidSect="00034616">
      <w:footerReference w:type="default" r:id="rId9"/>
      <w:pgSz w:w="12240" w:h="15840"/>
      <w:pgMar w:top="964" w:right="1020" w:bottom="879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color w:val="606060"/>
        <w:sz w:val="16"/>
      </w:rPr>
      <w:t xml:space="preserve">SAERJ  |  Resumo executivo  |  </w:t>
    </w:r>
    <w:r>
      <w:rPr>
        <w:color w:val="606060"/>
        <w:sz w:val="16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color w:val="000000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color w:val="000000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color w:val="000000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Resumo Executivo Base Centralizada de Histórico Funcional</dc:title>
  <dc:subject>Resumo executivo da ideia SAERJ-IDEIA-001</dc:subject>
  <dc:creator>Escritorio de Projetos</dc:creator>
  <cp:keywords>SAERJ, historico funcional, RH, LGPD, Alterdata, TOTVS RM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