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jc w:val="center"/>
      </w:pPr>
      <w:r>
        <w:rPr>
          <w:rFonts w:ascii="Times New Roman" w:cs="Times New Roman" w:eastAsia="Times New Roman" w:hAnsi="Times New Roman"/>
          <w:color w:val="5A6672"/>
          <w:spacing w:val="20"/>
          <w:sz w:val="24"/>
          <w:szCs w:val="24"/>
        </w:rPr>
        <w:t xml:space="preserve">PLAN DE NEGOCIOS</w:t>
      </w:r>
    </w:p>
    <w:p>
      <w:pPr>
        <w:spacing w:after="60" w:before="260"/>
        <w:jc w:val="center"/>
      </w:pPr>
      <w:r>
        <w:rPr>
          <w:rFonts w:ascii="Times New Roman" w:cs="Times New Roman" w:eastAsia="Times New Roman" w:hAnsi="Times New Roman"/>
          <w:b/>
          <w:bCs/>
          <w:color w:val="12314F"/>
          <w:sz w:val="72"/>
          <w:szCs w:val="72"/>
        </w:rPr>
        <w:t xml:space="preserve">KanchaYA</w:t>
      </w:r>
    </w:p>
    <w:p>
      <w:pPr>
        <w:spacing w:after="60"/>
        <w:jc w:val="center"/>
      </w:pPr>
      <w:r>
        <w:rPr>
          <w:rFonts w:ascii="Times New Roman" w:cs="Times New Roman" w:eastAsia="Times New Roman" w:hAnsi="Times New Roman"/>
          <w:i/>
          <w:iCs/>
          <w:color w:val="C1622D"/>
          <w:sz w:val="26"/>
          <w:szCs w:val="26"/>
        </w:rPr>
        <w:t xml:space="preserve">Reserva. Juega. Compite.</w:t>
      </w:r>
    </w:p>
    <w:p>
      <w:pPr>
        <w:spacing w:after="40" w:before="500"/>
        <w:jc w:val="center"/>
      </w:pPr>
      <w:r>
        <w:rPr>
          <w:rFonts w:ascii="Times New Roman" w:cs="Times New Roman" w:eastAsia="Times New Roman" w:hAnsi="Times New Roman"/>
          <w:color w:val="1F4E79"/>
          <w:sz w:val="26"/>
          <w:szCs w:val="26"/>
        </w:rPr>
        <w:t xml:space="preserve">Plataforma SaaS de reserva de canchas deportivas y gestión de campeonatos para la ciudad del Cusco</w:t>
      </w:r>
    </w:p>
    <w:p>
      <w:pPr>
        <w:spacing w:after="20" w:before="900"/>
        <w:jc w:val="center"/>
      </w:pPr>
      <w:r>
        <w:rPr>
          <w:rFonts w:ascii="Times New Roman" w:cs="Times New Roman" w:eastAsia="Times New Roman" w:hAnsi="Times New Roman"/>
          <w:sz w:val="22"/>
          <w:szCs w:val="22"/>
        </w:rPr>
        <w:t xml:space="preserve">Documento presentado a:</w:t>
      </w:r>
    </w:p>
    <w:p>
      <w:pPr>
        <w:spacing w:after="500"/>
        <w:jc w:val="center"/>
      </w:pPr>
      <w:r>
        <w:rPr>
          <w:rFonts w:ascii="Times New Roman" w:cs="Times New Roman" w:eastAsia="Times New Roman" w:hAnsi="Times New Roman"/>
          <w:b/>
          <w:bCs/>
          <w:sz w:val="22"/>
          <w:szCs w:val="22"/>
        </w:rPr>
        <w:t xml:space="preserve">Representantes, comité de inversión y potenciales socios estratégicos</w:t>
      </w:r>
    </w:p>
    <w:p>
      <w:pPr>
        <w:spacing w:before="700"/>
        <w:jc w:val="center"/>
      </w:pPr>
      <w:r>
        <w:rPr>
          <w:rFonts w:ascii="Times New Roman" w:cs="Times New Roman" w:eastAsia="Times New Roman" w:hAnsi="Times New Roman"/>
          <w:sz w:val="22"/>
          <w:szCs w:val="22"/>
        </w:rPr>
        <w:t xml:space="preserve">KanchaYA S.A.C. (empresa en constitución)</w:t>
      </w:r>
    </w:p>
    <w:p>
      <w:pPr>
        <w:jc w:val="center"/>
      </w:pPr>
      <w:r>
        <w:rPr>
          <w:rFonts w:ascii="Times New Roman" w:cs="Times New Roman" w:eastAsia="Times New Roman" w:hAnsi="Times New Roman"/>
          <w:sz w:val="22"/>
          <w:szCs w:val="22"/>
        </w:rPr>
        <w:t xml:space="preserve">Cusco, Perú</w:t>
      </w:r>
    </w:p>
    <w:p>
      <w:pPr>
        <w:spacing w:before="40"/>
        <w:jc w:val="center"/>
      </w:pPr>
      <w:r>
        <w:rPr>
          <w:rFonts w:ascii="Times New Roman" w:cs="Times New Roman" w:eastAsia="Times New Roman" w:hAnsi="Times New Roman"/>
          <w:sz w:val="22"/>
          <w:szCs w:val="22"/>
        </w:rPr>
        <w:t xml:space="preserve">Agosto de 2026</w:t>
      </w:r>
    </w:p>
    <w:p>
      <w:r>
        <w:br w:type="page"/>
      </w:r>
    </w:p>
    <w:p>
      <w:pPr>
        <w:sectPr>
          <w:headerReference w:type="default" r:id="rId7"/>
          <w:footerReference w:type="default" r:id="rId8"/>
          <w:pgSz w:w="11906" w:h="16838" w:orient="portrait"/>
          <w:pgMar w:top="1440" w:right="1440" w:bottom="1440" w:left="1440" w:header="708" w:footer="708" w:gutter="0"/>
          <w:pgNumType/>
          <w:titlePg/>
          <w:docGrid w:linePitch="360"/>
        </w:sectPr>
      </w:pPr>
    </w:p>
    <w:p>
      <w:pPr>
        <w:pStyle w:val="Heading1"/>
        <w:pageBreakBefore/>
        <w:spacing w:after="220" w:before="340"/>
        <w:jc w:val="center"/>
      </w:pPr>
      <w:r>
        <w:rPr>
          <w:rFonts w:ascii="Times New Roman" w:cs="Times New Roman" w:eastAsia="Times New Roman" w:hAnsi="Times New Roman"/>
          <w:b/>
          <w:bCs/>
          <w:color w:val="12314F"/>
          <w:sz w:val="27"/>
          <w:szCs w:val="27"/>
        </w:rPr>
        <w:t xml:space="preserve">Ficha del Documento</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2800"/>
        <w:gridCol w:w="6700"/>
      </w:tblGrid>
      <w:tr>
        <w:trPr>
          <w:tblHeader/>
        </w:trPr>
        <w:tc>
          <w:tcPr>
            <w:tcW w:type="dxa" w:w="28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Campo</w:t>
            </w:r>
          </w:p>
        </w:tc>
        <w:tc>
          <w:tcPr>
            <w:tcW w:type="dxa" w:w="67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Detalle</w:t>
            </w:r>
          </w:p>
        </w:tc>
      </w:tr>
      <w:tr>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Título del documento</w:t>
            </w:r>
          </w:p>
        </w:tc>
        <w:tc>
          <w:tcPr>
            <w:tcW w:type="dxa" w:w="6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Plan de Negocios — KanchaYA: plataforma SaaS de reserva de canchas deportivas y gestión de campeonatos</w:t>
            </w:r>
          </w:p>
        </w:tc>
      </w:tr>
      <w:tr>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Ámbito geográfico (fase 1)</w:t>
            </w:r>
          </w:p>
        </w:tc>
        <w:tc>
          <w:tcPr>
            <w:tcW w:type="dxa" w:w="6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Ciudad y provincia del Cusco, Perú</w:t>
            </w:r>
          </w:p>
        </w:tc>
      </w:tr>
      <w:tr>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Sector</w:t>
            </w:r>
          </w:p>
        </w:tc>
        <w:tc>
          <w:tcPr>
            <w:tcW w:type="dxa" w:w="6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Tecnología (SaaS / marketplace) aplicado a la industria del deporte y el ocio activo</w:t>
            </w:r>
          </w:p>
        </w:tc>
      </w:tr>
      <w:tr>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Naturaleza del documento</w:t>
            </w:r>
          </w:p>
        </w:tc>
        <w:tc>
          <w:tcPr>
            <w:tcW w:type="dxa" w:w="6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Plan de negocios para presentación a representantes, inversionistas y aliados estratégicos</w:t>
            </w:r>
          </w:p>
        </w:tc>
      </w:tr>
      <w:tr>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Moneda de referencia</w:t>
            </w:r>
          </w:p>
        </w:tc>
        <w:tc>
          <w:tcPr>
            <w:tcW w:type="dxa" w:w="6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Sol peruano (S/); se incluye referencia en dólares americanos (USD) al tipo de cambio de S/ 3.38 por USD</w:t>
            </w:r>
          </w:p>
        </w:tc>
      </w:tr>
      <w:tr>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Horizonte de la proyección</w:t>
            </w:r>
          </w:p>
        </w:tc>
        <w:tc>
          <w:tcPr>
            <w:tcW w:type="dxa" w:w="6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5 años (2027–2031), con visión de escalamiento a 7 años</w:t>
            </w:r>
          </w:p>
        </w:tc>
      </w:tr>
      <w:tr>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Versión</w:t>
            </w:r>
          </w:p>
        </w:tc>
        <w:tc>
          <w:tcPr>
            <w:tcW w:type="dxa" w:w="6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1.0</w:t>
            </w:r>
          </w:p>
        </w:tc>
      </w:tr>
      <w:tr>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Fecha de elaboración</w:t>
            </w:r>
          </w:p>
        </w:tc>
        <w:tc>
          <w:tcPr>
            <w:tcW w:type="dxa" w:w="6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Agosto de 2026</w:t>
            </w:r>
          </w:p>
        </w:tc>
      </w:tr>
      <w:tr>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Formato</w:t>
            </w:r>
          </w:p>
        </w:tc>
        <w:tc>
          <w:tcPr>
            <w:tcW w:type="dxa" w:w="6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Redactado siguiendo lineamientos generales del Manual APA, 7.ª edición</w:t>
            </w:r>
          </w:p>
        </w:tc>
      </w:tr>
    </w:tbl>
    <w:p>
      <w:pPr>
        <w:spacing w:after="120"/>
      </w:pPr>
    </w:p>
    <w:p>
      <w:pPr>
        <w:spacing w:after="160" w:line="264" w:lineRule="auto"/>
        <w:ind w:firstLine="720"/>
        <w:jc w:val="left"/>
      </w:pPr>
      <w:r>
        <w:rPr>
          <w:rFonts w:ascii="Times New Roman" w:cs="Times New Roman" w:eastAsia="Times New Roman" w:hAnsi="Times New Roman"/>
          <w:sz w:val="22"/>
          <w:szCs w:val="22"/>
        </w:rPr>
        <w:t xml:space="preserve">Este documento constituye una propuesta preliminar de negocio y ha sido elaborado con fines de presentación, discusión y levantamiento de observaciones por parte de los representantes a quienes se dirige. Las cifras financieras contenidas en este plan son estimaciones basadas en supuestos razonables de mercado, información pública disponible y benchmarks de la industria; no constituyen una garantía de resultados futuros y deben ser validadas mediante el proceso de debida diligencia (due diligence) que las partes acuerden.</w:t>
      </w:r>
    </w:p>
    <w:p>
      <w:pPr>
        <w:spacing w:after="160" w:line="264" w:lineRule="auto"/>
        <w:ind w:firstLine="720"/>
        <w:jc w:val="left"/>
      </w:pPr>
      <w:r>
        <w:rPr>
          <w:rFonts w:ascii="Times New Roman" w:cs="Times New Roman" w:eastAsia="Times New Roman" w:hAnsi="Times New Roman"/>
          <w:sz w:val="22"/>
          <w:szCs w:val="22"/>
        </w:rPr>
        <w:t xml:space="preserve">Se recomienda leer este documento en conjunto con sus anexos técnicos y financieros, los cuales pueden solicitarse al equipo fundador para efectos de evaluación detallada.</w:t>
      </w:r>
    </w:p>
    <w:p>
      <w:r>
        <w:br w:type="page"/>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Índice</w:t>
      </w:r>
    </w:p>
    <w:p>
      <w:pPr>
        <w:tabs>
          <w:tab w:val="right" w:pos="9026" w:leader="dot"/>
        </w:tabs>
        <w:spacing w:after="130"/>
      </w:pPr>
      <w:r>
        <w:rPr>
          <w:rFonts w:ascii="Times New Roman" w:cs="Times New Roman" w:eastAsia="Times New Roman" w:hAnsi="Times New Roman"/>
          <w:sz w:val="22"/>
          <w:szCs w:val="22"/>
        </w:rPr>
        <w:t xml:space="preserve">Ficha del Documento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w:t>
      </w:r>
    </w:p>
    <w:p>
      <w:pPr>
        <w:tabs>
          <w:tab w:val="right" w:pos="9026" w:leader="dot"/>
        </w:tabs>
        <w:spacing w:after="130"/>
      </w:pPr>
      <w:r>
        <w:rPr>
          <w:rFonts w:ascii="Times New Roman" w:cs="Times New Roman" w:eastAsia="Times New Roman" w:hAnsi="Times New Roman"/>
          <w:sz w:val="22"/>
          <w:szCs w:val="22"/>
        </w:rPr>
        <w:t xml:space="preserve">1. Resumen Ejecutivo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w:t>
      </w:r>
    </w:p>
    <w:p>
      <w:pPr>
        <w:tabs>
          <w:tab w:val="right" w:pos="9026" w:leader="dot"/>
        </w:tabs>
        <w:spacing w:after="130"/>
      </w:pPr>
      <w:r>
        <w:rPr>
          <w:rFonts w:ascii="Times New Roman" w:cs="Times New Roman" w:eastAsia="Times New Roman" w:hAnsi="Times New Roman"/>
          <w:sz w:val="22"/>
          <w:szCs w:val="22"/>
        </w:rPr>
        <w:t xml:space="preserve">2. Introducción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w:t>
      </w:r>
    </w:p>
    <w:p>
      <w:pPr>
        <w:tabs>
          <w:tab w:val="right" w:pos="9026" w:leader="dot"/>
        </w:tabs>
        <w:spacing w:after="130"/>
      </w:pPr>
      <w:r>
        <w:rPr>
          <w:rFonts w:ascii="Times New Roman" w:cs="Times New Roman" w:eastAsia="Times New Roman" w:hAnsi="Times New Roman"/>
          <w:sz w:val="22"/>
          <w:szCs w:val="22"/>
        </w:rPr>
        <w:t xml:space="preserve">3. Descripción del Negocio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w:t>
      </w:r>
    </w:p>
    <w:p>
      <w:pPr>
        <w:tabs>
          <w:tab w:val="right" w:pos="9026" w:leader="dot"/>
        </w:tabs>
        <w:spacing w:after="130"/>
      </w:pPr>
      <w:r>
        <w:rPr>
          <w:rFonts w:ascii="Times New Roman" w:cs="Times New Roman" w:eastAsia="Times New Roman" w:hAnsi="Times New Roman"/>
          <w:sz w:val="22"/>
          <w:szCs w:val="22"/>
        </w:rPr>
        <w:t xml:space="preserve">4. Análisis de Mercado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10</w:t>
      </w:r>
    </w:p>
    <w:p>
      <w:pPr>
        <w:tabs>
          <w:tab w:val="right" w:pos="9026" w:leader="dot"/>
        </w:tabs>
        <w:spacing w:after="130"/>
      </w:pPr>
      <w:r>
        <w:rPr>
          <w:rFonts w:ascii="Times New Roman" w:cs="Times New Roman" w:eastAsia="Times New Roman" w:hAnsi="Times New Roman"/>
          <w:sz w:val="22"/>
          <w:szCs w:val="22"/>
        </w:rPr>
        <w:t xml:space="preserve">5. Descripción del Producto o Servicio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14</w:t>
      </w:r>
    </w:p>
    <w:p>
      <w:pPr>
        <w:tabs>
          <w:tab w:val="right" w:pos="9026" w:leader="dot"/>
        </w:tabs>
        <w:spacing w:after="130"/>
      </w:pPr>
      <w:r>
        <w:rPr>
          <w:rFonts w:ascii="Times New Roman" w:cs="Times New Roman" w:eastAsia="Times New Roman" w:hAnsi="Times New Roman"/>
          <w:sz w:val="22"/>
          <w:szCs w:val="22"/>
        </w:rPr>
        <w:t xml:space="preserve">6. Alcance del Proyecto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16</w:t>
      </w:r>
    </w:p>
    <w:p>
      <w:pPr>
        <w:tabs>
          <w:tab w:val="right" w:pos="9026" w:leader="dot"/>
        </w:tabs>
        <w:spacing w:after="130"/>
      </w:pPr>
      <w:r>
        <w:rPr>
          <w:rFonts w:ascii="Times New Roman" w:cs="Times New Roman" w:eastAsia="Times New Roman" w:hAnsi="Times New Roman"/>
          <w:sz w:val="22"/>
          <w:szCs w:val="22"/>
        </w:rPr>
        <w:t xml:space="preserve">7. Arquitectura Tecnológica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18</w:t>
      </w:r>
    </w:p>
    <w:p>
      <w:pPr>
        <w:tabs>
          <w:tab w:val="right" w:pos="9026" w:leader="dot"/>
        </w:tabs>
        <w:spacing w:after="130"/>
      </w:pPr>
      <w:r>
        <w:rPr>
          <w:rFonts w:ascii="Times New Roman" w:cs="Times New Roman" w:eastAsia="Times New Roman" w:hAnsi="Times New Roman"/>
          <w:sz w:val="22"/>
          <w:szCs w:val="22"/>
        </w:rPr>
        <w:t xml:space="preserve">8. Modelo de Negocio y Monetización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23</w:t>
      </w:r>
    </w:p>
    <w:p>
      <w:pPr>
        <w:tabs>
          <w:tab w:val="right" w:pos="9026" w:leader="dot"/>
        </w:tabs>
        <w:spacing w:after="130"/>
      </w:pPr>
      <w:r>
        <w:rPr>
          <w:rFonts w:ascii="Times New Roman" w:cs="Times New Roman" w:eastAsia="Times New Roman" w:hAnsi="Times New Roman"/>
          <w:sz w:val="22"/>
          <w:szCs w:val="22"/>
        </w:rPr>
        <w:t xml:space="preserve">9. Plan de Inversión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25</w:t>
      </w:r>
    </w:p>
    <w:p>
      <w:pPr>
        <w:tabs>
          <w:tab w:val="right" w:pos="9026" w:leader="dot"/>
        </w:tabs>
        <w:spacing w:after="130"/>
      </w:pPr>
      <w:r>
        <w:rPr>
          <w:rFonts w:ascii="Times New Roman" w:cs="Times New Roman" w:eastAsia="Times New Roman" w:hAnsi="Times New Roman"/>
          <w:sz w:val="22"/>
          <w:szCs w:val="22"/>
        </w:rPr>
        <w:t xml:space="preserve">10. Proyecciones Financieras y Rentabilidad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27</w:t>
      </w:r>
    </w:p>
    <w:p>
      <w:pPr>
        <w:tabs>
          <w:tab w:val="right" w:pos="9026" w:leader="dot"/>
        </w:tabs>
        <w:spacing w:after="130"/>
      </w:pPr>
      <w:r>
        <w:rPr>
          <w:rFonts w:ascii="Times New Roman" w:cs="Times New Roman" w:eastAsia="Times New Roman" w:hAnsi="Times New Roman"/>
          <w:sz w:val="22"/>
          <w:szCs w:val="22"/>
        </w:rPr>
        <w:t xml:space="preserve">11. Valoración de la Empresa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30</w:t>
      </w:r>
    </w:p>
    <w:p>
      <w:pPr>
        <w:tabs>
          <w:tab w:val="right" w:pos="9026" w:leader="dot"/>
        </w:tabs>
        <w:spacing w:after="130"/>
      </w:pPr>
      <w:r>
        <w:rPr>
          <w:rFonts w:ascii="Times New Roman" w:cs="Times New Roman" w:eastAsia="Times New Roman" w:hAnsi="Times New Roman"/>
          <w:sz w:val="22"/>
          <w:szCs w:val="22"/>
        </w:rPr>
        <w:t xml:space="preserve">12. Análisis de Riesgos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32</w:t>
      </w:r>
    </w:p>
    <w:p>
      <w:pPr>
        <w:tabs>
          <w:tab w:val="right" w:pos="9026" w:leader="dot"/>
        </w:tabs>
        <w:spacing w:after="130"/>
      </w:pPr>
      <w:r>
        <w:rPr>
          <w:rFonts w:ascii="Times New Roman" w:cs="Times New Roman" w:eastAsia="Times New Roman" w:hAnsi="Times New Roman"/>
          <w:sz w:val="22"/>
          <w:szCs w:val="22"/>
        </w:rPr>
        <w:t xml:space="preserve">13. Marco Legal y Regulatorio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35</w:t>
      </w:r>
    </w:p>
    <w:p>
      <w:pPr>
        <w:tabs>
          <w:tab w:val="right" w:pos="9026" w:leader="dot"/>
        </w:tabs>
        <w:spacing w:after="130"/>
      </w:pPr>
      <w:r>
        <w:rPr>
          <w:rFonts w:ascii="Times New Roman" w:cs="Times New Roman" w:eastAsia="Times New Roman" w:hAnsi="Times New Roman"/>
          <w:sz w:val="22"/>
          <w:szCs w:val="22"/>
        </w:rPr>
        <w:t xml:space="preserve">14. Equipo y Estructura Organizacional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37</w:t>
      </w:r>
    </w:p>
    <w:p>
      <w:pPr>
        <w:tabs>
          <w:tab w:val="right" w:pos="9026" w:leader="dot"/>
        </w:tabs>
        <w:spacing w:after="130"/>
      </w:pPr>
      <w:r>
        <w:rPr>
          <w:rFonts w:ascii="Times New Roman" w:cs="Times New Roman" w:eastAsia="Times New Roman" w:hAnsi="Times New Roman"/>
          <w:sz w:val="22"/>
          <w:szCs w:val="22"/>
        </w:rPr>
        <w:t xml:space="preserve">15. Estrategia de Marketing y Crecimiento</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38</w:t>
      </w:r>
    </w:p>
    <w:p>
      <w:pPr>
        <w:tabs>
          <w:tab w:val="right" w:pos="9026" w:leader="dot"/>
        </w:tabs>
        <w:spacing w:after="130"/>
      </w:pPr>
      <w:r>
        <w:rPr>
          <w:rFonts w:ascii="Times New Roman" w:cs="Times New Roman" w:eastAsia="Times New Roman" w:hAnsi="Times New Roman"/>
          <w:sz w:val="22"/>
          <w:szCs w:val="22"/>
        </w:rPr>
        <w:t xml:space="preserve">16. Plan de Implementación (Hoja de Ruta)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39</w:t>
      </w:r>
    </w:p>
    <w:p>
      <w:pPr>
        <w:tabs>
          <w:tab w:val="right" w:pos="9026" w:leader="dot"/>
        </w:tabs>
        <w:spacing w:after="130"/>
      </w:pPr>
      <w:r>
        <w:rPr>
          <w:rFonts w:ascii="Times New Roman" w:cs="Times New Roman" w:eastAsia="Times New Roman" w:hAnsi="Times New Roman"/>
          <w:sz w:val="22"/>
          <w:szCs w:val="22"/>
        </w:rPr>
        <w:t xml:space="preserve">17. Conclusiones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41</w:t>
      </w:r>
    </w:p>
    <w:p>
      <w:pPr>
        <w:tabs>
          <w:tab w:val="right" w:pos="9026" w:leader="dot"/>
        </w:tabs>
        <w:spacing w:after="130"/>
      </w:pPr>
      <w:r>
        <w:rPr>
          <w:rFonts w:ascii="Times New Roman" w:cs="Times New Roman" w:eastAsia="Times New Roman" w:hAnsi="Times New Roman"/>
          <w:sz w:val="22"/>
          <w:szCs w:val="22"/>
        </w:rPr>
        <w:t xml:space="preserve">18. Referencias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42</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 Resumen Ejecutivo</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KanchaYA</w:t>
      </w:r>
      <w:r>
        <w:rPr>
          <w:rFonts w:ascii="Times New Roman" w:cs="Times New Roman" w:eastAsia="Times New Roman" w:hAnsi="Times New Roman"/>
          <w:b w:val="false"/>
          <w:bCs w:val="false"/>
          <w:i w:val="false"/>
          <w:iCs w:val="false"/>
          <w:sz w:val="22"/>
          <w:szCs w:val="22"/>
        </w:rPr>
        <w:t xml:space="preserve"> es una propuesta de plataforma tecnológica tipo </w:t>
      </w:r>
      <w:r>
        <w:rPr>
          <w:rFonts w:ascii="Times New Roman" w:cs="Times New Roman" w:eastAsia="Times New Roman" w:hAnsi="Times New Roman"/>
          <w:b w:val="false"/>
          <w:bCs w:val="false"/>
          <w:i/>
          <w:iCs/>
          <w:sz w:val="22"/>
          <w:szCs w:val="22"/>
        </w:rPr>
        <w:t xml:space="preserve">SaaS (Software as a Service)</w:t>
      </w:r>
      <w:r>
        <w:rPr>
          <w:rFonts w:ascii="Times New Roman" w:cs="Times New Roman" w:eastAsia="Times New Roman" w:hAnsi="Times New Roman"/>
          <w:b w:val="false"/>
          <w:bCs w:val="false"/>
          <w:i w:val="false"/>
          <w:iCs w:val="false"/>
          <w:sz w:val="22"/>
          <w:szCs w:val="22"/>
        </w:rPr>
        <w:t xml:space="preserve"> y </w:t>
      </w:r>
      <w:r>
        <w:rPr>
          <w:rFonts w:ascii="Times New Roman" w:cs="Times New Roman" w:eastAsia="Times New Roman" w:hAnsi="Times New Roman"/>
          <w:b w:val="false"/>
          <w:bCs w:val="false"/>
          <w:i/>
          <w:iCs/>
          <w:sz w:val="22"/>
          <w:szCs w:val="22"/>
        </w:rPr>
        <w:t xml:space="preserve">marketplace</w:t>
      </w:r>
      <w:r>
        <w:rPr>
          <w:rFonts w:ascii="Times New Roman" w:cs="Times New Roman" w:eastAsia="Times New Roman" w:hAnsi="Times New Roman"/>
          <w:b w:val="false"/>
          <w:bCs w:val="false"/>
          <w:i w:val="false"/>
          <w:iCs w:val="false"/>
          <w:sz w:val="22"/>
          <w:szCs w:val="22"/>
        </w:rPr>
        <w:t xml:space="preserve"> de dos lados, diseñada para digitalizar la reserva de canchas e instalaciones deportivas en la ciudad del Cusco y, posteriormente, en otras ciudades del sur del Perú. El modelo replica la lógica de intermediación que hizo exitosas a plataformas como Airbnb —conectar oferta fragmentada con demanda dispersa a través de un canal digital confiable— pero aplicada a la industria del deporte recreativo y competitivo: canchas de fútbol, vóley, básquet, pádel y tenis administradas por centros deportivos privados, clubes, colegios e instituciones públicas.</w:t>
      </w:r>
    </w:p>
    <w:p>
      <w:pPr>
        <w:spacing w:after="160" w:line="264" w:lineRule="auto"/>
        <w:ind w:firstLine="720"/>
        <w:jc w:val="left"/>
      </w:pPr>
      <w:r>
        <w:rPr>
          <w:rFonts w:ascii="Times New Roman" w:cs="Times New Roman" w:eastAsia="Times New Roman" w:hAnsi="Times New Roman"/>
          <w:sz w:val="22"/>
          <w:szCs w:val="22"/>
        </w:rPr>
        <w:t xml:space="preserve">La plataforma tiene dos componentes centrales. El primero es un motor de reservas en tiempo real que permite a cualquier centro deportivo publicar la disponibilidad de sus canchas, recibir reservas y cobrar en línea, de forma similar a como un anfitrión de Airbnb publica un inmueble. El segundo es un módulo de organización de campeonatos, pensado para instituciones privadas (empresas, ligas barriales, universidades) e instituciones públicas (municipalidades, colegios, el Instituto Peruano del Deporte) que necesitan administrar cuadros de competencia, inscripciones, calendarios y resultados sin depender de hojas de cálculo ni de comunicación informal por WhatsApp.</w:t>
      </w:r>
    </w:p>
    <w:p>
      <w:pPr>
        <w:pStyle w:val="Heading2"/>
        <w:spacing w:after="160" w:before="300"/>
        <w:jc w:val="left"/>
      </w:pPr>
      <w:r>
        <w:rPr>
          <w:rFonts w:ascii="Times New Roman" w:cs="Times New Roman" w:eastAsia="Times New Roman" w:hAnsi="Times New Roman"/>
          <w:b/>
          <w:bCs/>
          <w:color w:val="12314F"/>
          <w:sz w:val="25"/>
          <w:szCs w:val="25"/>
        </w:rPr>
        <w:t xml:space="preserve">1.1 La Oportunidad</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El mercado de reservas deportivas digitales ya ha demostrado ser viable a escala internacional: </w:t>
      </w:r>
      <w:r>
        <w:rPr>
          <w:rFonts w:ascii="Times New Roman" w:cs="Times New Roman" w:eastAsia="Times New Roman" w:hAnsi="Times New Roman"/>
          <w:b w:val="false"/>
          <w:bCs w:val="false"/>
          <w:i/>
          <w:iCs/>
          <w:sz w:val="22"/>
          <w:szCs w:val="22"/>
        </w:rPr>
        <w:t xml:space="preserve">Playtomic</w:t>
      </w:r>
      <w:r>
        <w:rPr>
          <w:rFonts w:ascii="Times New Roman" w:cs="Times New Roman" w:eastAsia="Times New Roman" w:hAnsi="Times New Roman"/>
          <w:b w:val="false"/>
          <w:bCs w:val="false"/>
          <w:i w:val="false"/>
          <w:iCs w:val="false"/>
          <w:sz w:val="22"/>
          <w:szCs w:val="22"/>
        </w:rPr>
        <w:t xml:space="preserve">, la plataforma española de referencia en este rubro, gestiona miles de clubes en más de 30 países y procesa un volumen mensual de reservas superior a los 22 millones de euros, cobrando una comisión aproximada del 4 % por transacción más una cuota de software a los clubes </w:t>
      </w:r>
      <w:r>
        <w:rPr>
          <w:rFonts w:ascii="Times New Roman" w:cs="Times New Roman" w:eastAsia="Times New Roman" w:hAnsi="Times New Roman"/>
          <w:b w:val="false"/>
          <w:bCs w:val="false"/>
          <w:i w:val="false"/>
          <w:iCs w:val="false"/>
          <w:sz w:val="22"/>
          <w:szCs w:val="22"/>
        </w:rPr>
        <w:t xml:space="preserve">(Forbes México, 2024)</w:t>
      </w:r>
      <w:r>
        <w:rPr>
          <w:rFonts w:ascii="Times New Roman" w:cs="Times New Roman" w:eastAsia="Times New Roman" w:hAnsi="Times New Roman"/>
          <w:b w:val="false"/>
          <w:bCs w:val="false"/>
          <w:i w:val="false"/>
          <w:iCs w:val="false"/>
          <w:sz w:val="22"/>
          <w:szCs w:val="22"/>
        </w:rPr>
        <w:t xml:space="preserve">. En el Perú, aplicativos como FairPlay ya validan la demanda local por reservar canchas de fútbol desde el celular </w:t>
      </w:r>
      <w:r>
        <w:rPr>
          <w:rFonts w:ascii="Times New Roman" w:cs="Times New Roman" w:eastAsia="Times New Roman" w:hAnsi="Times New Roman"/>
          <w:b w:val="false"/>
          <w:bCs w:val="false"/>
          <w:i w:val="false"/>
          <w:iCs w:val="false"/>
          <w:sz w:val="22"/>
          <w:szCs w:val="22"/>
        </w:rPr>
        <w:t xml:space="preserve">(El Comercio, 2022)</w:t>
      </w:r>
      <w:r>
        <w:rPr>
          <w:rFonts w:ascii="Times New Roman" w:cs="Times New Roman" w:eastAsia="Times New Roman" w:hAnsi="Times New Roman"/>
          <w:b w:val="false"/>
          <w:bCs w:val="false"/>
          <w:i w:val="false"/>
          <w:iCs w:val="false"/>
          <w:sz w:val="22"/>
          <w:szCs w:val="22"/>
        </w:rPr>
        <w:t xml:space="preserve">; sin embargo, ningún actor ha consolidado una oferta integral —reservas más gestión de campeonatos— con foco dedicado en el Cusco, una ciudad con una población económicamente activa joven, alta densidad de centros deportivos y una cultura futbolística y de "pichangas" muy arraigada.</w:t>
      </w:r>
    </w:p>
    <w:p>
      <w:pPr>
        <w:spacing w:after="160" w:line="264" w:lineRule="auto"/>
        <w:ind w:firstLine="720"/>
        <w:jc w:val="left"/>
      </w:pPr>
      <w:r>
        <w:rPr>
          <w:rFonts w:ascii="Times New Roman" w:cs="Times New Roman" w:eastAsia="Times New Roman" w:hAnsi="Times New Roman"/>
          <w:sz w:val="22"/>
          <w:szCs w:val="22"/>
        </w:rPr>
        <w:t xml:space="preserve">KanchaYA busca ser el primer movimiento serio para capturar ese vacío: consolidarse como la infraestructura digital por defecto del deporte recreativo cusqueño antes de que un actor nacional o regional replique el modelo en la ciudad.</w:t>
      </w:r>
    </w:p>
    <w:p>
      <w:pPr>
        <w:pStyle w:val="Heading2"/>
        <w:spacing w:after="160" w:before="300"/>
        <w:jc w:val="left"/>
      </w:pPr>
      <w:r>
        <w:rPr>
          <w:rFonts w:ascii="Times New Roman" w:cs="Times New Roman" w:eastAsia="Times New Roman" w:hAnsi="Times New Roman"/>
          <w:b/>
          <w:bCs/>
          <w:color w:val="12314F"/>
          <w:sz w:val="25"/>
          <w:szCs w:val="25"/>
        </w:rPr>
        <w:t xml:space="preserve">1.2 Modelo de Negocio</w:t>
      </w:r>
    </w:p>
    <w:p>
      <w:pPr>
        <w:spacing w:after="160" w:line="264" w:lineRule="auto"/>
        <w:ind w:firstLine="720"/>
        <w:jc w:val="left"/>
      </w:pPr>
      <w:r>
        <w:rPr>
          <w:rFonts w:ascii="Times New Roman" w:cs="Times New Roman" w:eastAsia="Times New Roman" w:hAnsi="Times New Roman"/>
          <w:sz w:val="22"/>
          <w:szCs w:val="22"/>
        </w:rPr>
        <w:t xml:space="preserve">Los ingresos de la plataforma provienen de cuatro fuentes complementarias, detalladas en la sección 8 de este documento: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Comisión por reserva: </w:t>
      </w:r>
      <w:r>
        <w:rPr>
          <w:rFonts w:ascii="Times New Roman" w:cs="Times New Roman" w:eastAsia="Times New Roman" w:hAnsi="Times New Roman"/>
          <w:b w:val="false"/>
          <w:bCs w:val="false"/>
          <w:i w:val="false"/>
          <w:iCs w:val="false"/>
          <w:sz w:val="22"/>
          <w:szCs w:val="22"/>
        </w:rPr>
        <w:t xml:space="preserve">entre 9 % y 13 % del valor de cada transacción procesada, escalando conforme crece el valor agregado de la plataforma.</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Suscripciones SaaS: </w:t>
      </w:r>
      <w:r>
        <w:rPr>
          <w:rFonts w:ascii="Times New Roman" w:cs="Times New Roman" w:eastAsia="Times New Roman" w:hAnsi="Times New Roman"/>
          <w:b w:val="false"/>
          <w:bCs w:val="false"/>
          <w:i w:val="false"/>
          <w:iCs w:val="false"/>
          <w:sz w:val="22"/>
          <w:szCs w:val="22"/>
        </w:rPr>
        <w:t xml:space="preserve">planes mensuales (Pro y Premium) para centros deportivos que desean herramientas avanzadas de gestión, analítica y posicionamiento.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Módulo de campeonatos: </w:t>
      </w:r>
      <w:r>
        <w:rPr>
          <w:rFonts w:ascii="Times New Roman" w:cs="Times New Roman" w:eastAsia="Times New Roman" w:hAnsi="Times New Roman"/>
          <w:b w:val="false"/>
          <w:bCs w:val="false"/>
          <w:i w:val="false"/>
          <w:iCs w:val="false"/>
          <w:sz w:val="22"/>
          <w:szCs w:val="22"/>
        </w:rPr>
        <w:t xml:space="preserve">tarifas fijas o comisión sobre inscripciones para instituciones que organizan torneos.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Publicidad y patrocinios: </w:t>
      </w:r>
      <w:r>
        <w:rPr>
          <w:rFonts w:ascii="Times New Roman" w:cs="Times New Roman" w:eastAsia="Times New Roman" w:hAnsi="Times New Roman"/>
          <w:b w:val="false"/>
          <w:bCs w:val="false"/>
          <w:i w:val="false"/>
          <w:iCs w:val="false"/>
          <w:sz w:val="22"/>
          <w:szCs w:val="22"/>
        </w:rPr>
        <w:t xml:space="preserve">espacios destacados para marcas deportivas, tiendas de implementos y gimnasios.</w:t>
      </w:r>
    </w:p>
    <w:p>
      <w:pPr>
        <w:pStyle w:val="Heading2"/>
        <w:spacing w:after="160" w:before="300"/>
        <w:jc w:val="left"/>
      </w:pPr>
      <w:r>
        <w:rPr>
          <w:rFonts w:ascii="Times New Roman" w:cs="Times New Roman" w:eastAsia="Times New Roman" w:hAnsi="Times New Roman"/>
          <w:b/>
          <w:bCs/>
          <w:color w:val="12314F"/>
          <w:sz w:val="25"/>
          <w:szCs w:val="25"/>
        </w:rPr>
        <w:t xml:space="preserve">1.3 Resumen Financiero</w:t>
      </w:r>
    </w:p>
    <w:p>
      <w:pPr>
        <w:spacing w:after="160" w:line="264" w:lineRule="auto"/>
        <w:ind w:firstLine="720"/>
        <w:jc w:val="left"/>
      </w:pPr>
      <w:r>
        <w:rPr>
          <w:rFonts w:ascii="Times New Roman" w:cs="Times New Roman" w:eastAsia="Times New Roman" w:hAnsi="Times New Roman"/>
          <w:sz w:val="22"/>
          <w:szCs w:val="22"/>
        </w:rPr>
        <w:t xml:space="preserve">El plan contempla un horizonte de cinco años, iniciando operaciones en la ciudad del Cusco y expandiéndose progresivamente al Valle Sagrado, Arequipa y Puno. Las proyecciones —desarrolladas con detalle en la sección 10— se resumen a continuación:</w:t>
      </w:r>
    </w:p>
    <w:p>
      <w:pPr>
        <w:spacing w:after="100"/>
        <w:jc w:val="left"/>
      </w:pPr>
      <w:r>
        <w:rPr>
          <w:rFonts w:ascii="Times New Roman" w:cs="Times New Roman" w:eastAsia="Times New Roman" w:hAnsi="Times New Roman"/>
          <w:i/>
          <w:iCs/>
          <w:sz w:val="20"/>
          <w:szCs w:val="20"/>
        </w:rPr>
        <w:t xml:space="preserve">Tabla 1. Resumen de la proyección financiera a 5 años (en soles)</w:t>
      </w:r>
    </w:p>
    <w:tbl>
      <w:tblPr>
        <w:tblW w:type="dxa" w:w="9900"/>
        <w:tblBorders>
          <w:top w:val="single" w:color="AAB4BF" w:sz="4"/>
          <w:left w:val="single" w:color="AAB4BF" w:sz="4"/>
          <w:bottom w:val="single" w:color="AAB4BF" w:sz="4"/>
          <w:right w:val="single" w:color="AAB4BF" w:sz="4"/>
          <w:insideH w:val="single" w:color="D3D9E0" w:sz="2"/>
          <w:insideV w:val="single" w:color="D3D9E0" w:sz="2"/>
        </w:tblBorders>
      </w:tblPr>
      <w:tblGrid>
        <w:gridCol w:w="3200"/>
        <w:gridCol w:w="1340"/>
        <w:gridCol w:w="1340"/>
        <w:gridCol w:w="1340"/>
        <w:gridCol w:w="1340"/>
        <w:gridCol w:w="1340"/>
      </w:tblGrid>
      <w:tr>
        <w:trPr>
          <w:tblHeader/>
        </w:trPr>
        <w:tc>
          <w:tcPr>
            <w:tcW w:type="dxa" w:w="3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Indicador</w:t>
            </w:r>
          </w:p>
        </w:tc>
        <w:tc>
          <w:tcPr>
            <w:tcW w:type="dxa" w:w="134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1</w:t>
            </w:r>
          </w:p>
        </w:tc>
        <w:tc>
          <w:tcPr>
            <w:tcW w:type="dxa" w:w="134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2</w:t>
            </w:r>
          </w:p>
        </w:tc>
        <w:tc>
          <w:tcPr>
            <w:tcW w:type="dxa" w:w="134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3</w:t>
            </w:r>
          </w:p>
        </w:tc>
        <w:tc>
          <w:tcPr>
            <w:tcW w:type="dxa" w:w="134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4</w:t>
            </w:r>
          </w:p>
        </w:tc>
        <w:tc>
          <w:tcPr>
            <w:tcW w:type="dxa" w:w="134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5</w:t>
            </w:r>
          </w:p>
        </w:tc>
      </w:tr>
      <w:tr>
        <w:tc>
          <w:tcPr>
            <w:tcW w:type="dxa" w:w="32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GMV (valor transaccionado)</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3.8 M</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8.2 M</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16.5 M</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29.0 M</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46.0 M</w:t>
            </w:r>
          </w:p>
        </w:tc>
      </w:tr>
      <w:tr>
        <w:tc>
          <w:tcPr>
            <w:tcW w:type="dxa" w:w="32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Ingresos de la plataforma</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480 mil</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1.10 M</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2.36 M</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4.28 M</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7.03 M</w:t>
            </w:r>
          </w:p>
        </w:tc>
      </w:tr>
      <w:tr>
        <w:tc>
          <w:tcPr>
            <w:tcW w:type="dxa" w:w="32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Resultado neto</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-470 mil</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-250 mil</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+310 mil</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+980 mil</w:t>
            </w:r>
          </w:p>
        </w:tc>
        <w:tc>
          <w:tcPr>
            <w:tcW w:type="dxa" w:w="134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+1.93 M</w:t>
            </w:r>
          </w:p>
        </w:tc>
      </w:tr>
      <w:tr>
        <w:tc>
          <w:tcPr>
            <w:tcW w:type="dxa" w:w="32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Centros deportivos activos</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45</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85</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165</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280</w:t>
            </w:r>
          </w:p>
        </w:tc>
        <w:tc>
          <w:tcPr>
            <w:tcW w:type="dxa" w:w="134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430</w:t>
            </w:r>
          </w:p>
        </w:tc>
      </w:tr>
    </w:tbl>
    <w:p>
      <w:pPr>
        <w:spacing w:after="200" w:before="40"/>
        <w:jc w:val="left"/>
      </w:pPr>
      <w:r>
        <w:rPr>
          <w:rFonts w:ascii="Times New Roman" w:cs="Times New Roman" w:eastAsia="Times New Roman" w:hAnsi="Times New Roman"/>
          <w:i/>
          <w:iCs/>
          <w:color w:val="5A6672"/>
          <w:sz w:val="18"/>
          <w:szCs w:val="18"/>
        </w:rPr>
        <w:t xml:space="preserve">Nota. Elaboración propia. GMV = Gross Merchandise Value (valor bruto transaccionado en la plataforma). M = millones.</w:t>
      </w:r>
    </w:p>
    <w:p>
      <w:pPr>
        <w:spacing w:after="160" w:line="264" w:lineRule="auto"/>
        <w:ind w:firstLine="720"/>
        <w:jc w:val="left"/>
      </w:pPr>
      <w:r>
        <w:rPr>
          <w:rFonts w:ascii="Times New Roman" w:cs="Times New Roman" w:eastAsia="Times New Roman" w:hAnsi="Times New Roman"/>
          <w:sz w:val="22"/>
          <w:szCs w:val="22"/>
        </w:rPr>
        <w:t xml:space="preserve">El punto de equilibrio operativo se alcanza en el Año 3, con un periodo de recuperación de la inversión (payback) estimado en aproximadamente 4 años y 2 meses.</w:t>
      </w:r>
    </w:p>
    <w:p>
      <w:pPr>
        <w:pStyle w:val="Heading2"/>
        <w:spacing w:after="160" w:before="300"/>
        <w:jc w:val="left"/>
      </w:pPr>
      <w:r>
        <w:rPr>
          <w:rFonts w:ascii="Times New Roman" w:cs="Times New Roman" w:eastAsia="Times New Roman" w:hAnsi="Times New Roman"/>
          <w:b/>
          <w:bCs/>
          <w:color w:val="12314F"/>
          <w:sz w:val="25"/>
          <w:szCs w:val="25"/>
        </w:rPr>
        <w:t xml:space="preserve">1.4 Inversión Solicitada y Valoración</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Se solicita una ronda de inversión semilla de </w:t>
      </w:r>
      <w:r>
        <w:rPr>
          <w:rFonts w:ascii="Times New Roman" w:cs="Times New Roman" w:eastAsia="Times New Roman" w:hAnsi="Times New Roman"/>
          <w:b/>
          <w:bCs/>
          <w:i w:val="false"/>
          <w:iCs w:val="false"/>
          <w:sz w:val="22"/>
          <w:szCs w:val="22"/>
        </w:rPr>
        <w:t xml:space="preserve">S/ 950,000 (aproximadamente USD 281,000)</w:t>
      </w:r>
      <w:r>
        <w:rPr>
          <w:rFonts w:ascii="Times New Roman" w:cs="Times New Roman" w:eastAsia="Times New Roman" w:hAnsi="Times New Roman"/>
          <w:b w:val="false"/>
          <w:bCs w:val="false"/>
          <w:i w:val="false"/>
          <w:iCs w:val="false"/>
          <w:sz w:val="22"/>
          <w:szCs w:val="22"/>
        </w:rPr>
        <w:t xml:space="preserve"> para financiar el desarrollo del producto mínimo viable (MVP), la constitución legal de la empresa y los primeros doce meses de operación comercial en el Cusco. Sobre la base de una valoración pre-money estimada de </w:t>
      </w:r>
      <w:r>
        <w:rPr>
          <w:rFonts w:ascii="Times New Roman" w:cs="Times New Roman" w:eastAsia="Times New Roman" w:hAnsi="Times New Roman"/>
          <w:b/>
          <w:bCs/>
          <w:i w:val="false"/>
          <w:iCs w:val="false"/>
          <w:sz w:val="22"/>
          <w:szCs w:val="22"/>
        </w:rPr>
        <w:t xml:space="preserve">S/ 2,850,000</w:t>
      </w:r>
      <w:r>
        <w:rPr>
          <w:rFonts w:ascii="Times New Roman" w:cs="Times New Roman" w:eastAsia="Times New Roman" w:hAnsi="Times New Roman"/>
          <w:b w:val="false"/>
          <w:bCs w:val="false"/>
          <w:i w:val="false"/>
          <w:iCs w:val="false"/>
          <w:sz w:val="22"/>
          <w:szCs w:val="22"/>
        </w:rPr>
        <w:t xml:space="preserve">, la inversión propuesta representaría una participación accionaria de </w:t>
      </w:r>
      <w:r>
        <w:rPr>
          <w:rFonts w:ascii="Times New Roman" w:cs="Times New Roman" w:eastAsia="Times New Roman" w:hAnsi="Times New Roman"/>
          <w:b/>
          <w:bCs/>
          <w:i w:val="false"/>
          <w:iCs w:val="false"/>
          <w:sz w:val="22"/>
          <w:szCs w:val="22"/>
        </w:rPr>
        <w:t xml:space="preserve">25 %</w:t>
      </w:r>
      <w:r>
        <w:rPr>
          <w:rFonts w:ascii="Times New Roman" w:cs="Times New Roman" w:eastAsia="Times New Roman" w:hAnsi="Times New Roman"/>
          <w:b w:val="false"/>
          <w:bCs w:val="false"/>
          <w:i w:val="false"/>
          <w:iCs w:val="false"/>
          <w:sz w:val="22"/>
          <w:szCs w:val="22"/>
        </w:rPr>
        <w:t xml:space="preserve"> en la empresa. La metodología de valoración, que combina el método de scorecard para etapa semilla, múltiplos de ingresos comparables y flujo de caja descontado, se desarrolla en la sección 11.</w:t>
      </w:r>
    </w:p>
    <w:p>
      <w:pPr>
        <w:pStyle w:val="Heading2"/>
        <w:spacing w:after="160" w:before="300"/>
        <w:jc w:val="left"/>
      </w:pPr>
      <w:r>
        <w:rPr>
          <w:rFonts w:ascii="Times New Roman" w:cs="Times New Roman" w:eastAsia="Times New Roman" w:hAnsi="Times New Roman"/>
          <w:b/>
          <w:bCs/>
          <w:color w:val="12314F"/>
          <w:sz w:val="25"/>
          <w:szCs w:val="25"/>
        </w:rPr>
        <w:t xml:space="preserve">1.5 Alcance y Hoja de Ruta</w:t>
      </w:r>
    </w:p>
    <w:p>
      <w:pPr>
        <w:spacing w:after="160" w:line="264" w:lineRule="auto"/>
        <w:ind w:firstLine="720"/>
        <w:jc w:val="left"/>
      </w:pPr>
      <w:r>
        <w:rPr>
          <w:rFonts w:ascii="Times New Roman" w:cs="Times New Roman" w:eastAsia="Times New Roman" w:hAnsi="Times New Roman"/>
          <w:sz w:val="22"/>
          <w:szCs w:val="22"/>
        </w:rPr>
        <w:t xml:space="preserve">La implementación se organiza en seis fases, desde la constitución legal y el desarrollo del MVP hasta el escalamiento nacional, a lo largo de un horizonte de 60 meses. El detalle de cada fase, con hitos y metas cuantificables, se presenta en la sección 6 (alcance) y en la sección 16 (hoja de ruta de implementación).</w:t>
      </w:r>
    </w:p>
    <w:p>
      <w:pPr>
        <w:pStyle w:val="Heading2"/>
        <w:spacing w:after="160" w:before="300"/>
        <w:jc w:val="left"/>
      </w:pPr>
      <w:r>
        <w:rPr>
          <w:rFonts w:ascii="Times New Roman" w:cs="Times New Roman" w:eastAsia="Times New Roman" w:hAnsi="Times New Roman"/>
          <w:b/>
          <w:bCs/>
          <w:color w:val="12314F"/>
          <w:sz w:val="25"/>
          <w:szCs w:val="25"/>
        </w:rPr>
        <w:t xml:space="preserve">1.6 Por qué Ahora</w:t>
      </w:r>
    </w:p>
    <w:p>
      <w:pPr>
        <w:spacing w:after="160" w:line="264" w:lineRule="auto"/>
        <w:ind w:firstLine="720"/>
        <w:jc w:val="left"/>
      </w:pPr>
      <w:r>
        <w:rPr>
          <w:rFonts w:ascii="Times New Roman" w:cs="Times New Roman" w:eastAsia="Times New Roman" w:hAnsi="Times New Roman"/>
          <w:sz w:val="22"/>
          <w:szCs w:val="22"/>
        </w:rPr>
        <w:t xml:space="preserve">Tres factores convergen para hacer de este el momento adecuado para lanzar KanchaYA: (a) la penetración de billeteras digitales como Yape y Plin ha normalizado el pago móvil entre la población joven peruana, eliminando la principal fricción para cobrar reservas en línea; (b) el ecosistema de capital emprendedor peruano, aunque todavía incipiente frente a otros países de la región, muestra una tendencia de crecimiento sostenido —con una brecha de financiamiento proyectada de USD 516 millones entre 2026 y 2030 que representa tanto un riesgo como una oportunidad para levantar capital temprano (Gestión, 2026)—; y (c) ningún competidor ha priorizado al Cusco como mercado principal, lo que permite a KanchaYA construir una posición de liderazgo local antes de que la competencia nacional expanda su cobertura.</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2. Introducción</w:t>
      </w:r>
    </w:p>
    <w:p>
      <w:pPr>
        <w:pStyle w:val="Heading2"/>
        <w:spacing w:after="160" w:before="300"/>
        <w:jc w:val="left"/>
      </w:pPr>
      <w:r>
        <w:rPr>
          <w:rFonts w:ascii="Times New Roman" w:cs="Times New Roman" w:eastAsia="Times New Roman" w:hAnsi="Times New Roman"/>
          <w:b/>
          <w:bCs/>
          <w:color w:val="12314F"/>
          <w:sz w:val="25"/>
          <w:szCs w:val="25"/>
        </w:rPr>
        <w:t xml:space="preserve">2.1 Antecedentes y Contexto</w:t>
      </w:r>
    </w:p>
    <w:p>
      <w:pPr>
        <w:spacing w:after="160" w:line="264" w:lineRule="auto"/>
        <w:ind w:firstLine="720"/>
        <w:jc w:val="left"/>
      </w:pPr>
      <w:r>
        <w:rPr>
          <w:rFonts w:ascii="Times New Roman" w:cs="Times New Roman" w:eastAsia="Times New Roman" w:hAnsi="Times New Roman"/>
          <w:sz w:val="22"/>
          <w:szCs w:val="22"/>
        </w:rPr>
        <w:t xml:space="preserve">La práctica deportiva recreativa —fútbol siete, vóley, básquet, pádel— ocupa un lugar central en la vida social y cultural del Perú, y el Cusco no es la excepción. Cientos de personas reservan canchas cada semana para practicar deporte con amigos, compañeros de trabajo o equipos de liga barrial. Sin embargo, ese proceso de reserva sigue dependiendo, en la gran mayoría de los centros deportivos cusqueños, de llamadas telefónicas, mensajes de WhatsApp y anotaciones manuales en cuadernos físicos.</w:t>
      </w:r>
    </w:p>
    <w:p>
      <w:pPr>
        <w:spacing w:after="160" w:line="264" w:lineRule="auto"/>
        <w:ind w:firstLine="720"/>
        <w:jc w:val="left"/>
      </w:pPr>
      <w:r>
        <w:rPr>
          <w:rFonts w:ascii="Times New Roman" w:cs="Times New Roman" w:eastAsia="Times New Roman" w:hAnsi="Times New Roman"/>
          <w:sz w:val="22"/>
          <w:szCs w:val="22"/>
        </w:rPr>
        <w:t xml:space="preserve">Esta forma de operar genera fricciones evidentes tanto para el deportista —que no puede comparar precios, horarios ni ubicaciones de forma centralizada— como para el administrador del centro deportivo, que pierde tiempo coordinando reservas, no cuenta con datos para optimizar sus horarios de mayor y menor demanda, y no tiene un canal digital propio para fidelizar clientes ni cobrar en línea.</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A nivel internacional, este problema ya fue identificado y resuelto por plataformas especializadas. </w:t>
      </w:r>
      <w:r>
        <w:rPr>
          <w:rFonts w:ascii="Times New Roman" w:cs="Times New Roman" w:eastAsia="Times New Roman" w:hAnsi="Times New Roman"/>
          <w:b w:val="false"/>
          <w:bCs w:val="false"/>
          <w:i/>
          <w:iCs/>
          <w:sz w:val="22"/>
          <w:szCs w:val="22"/>
        </w:rPr>
        <w:t xml:space="preserve">Playtomic</w:t>
      </w:r>
      <w:r>
        <w:rPr>
          <w:rFonts w:ascii="Times New Roman" w:cs="Times New Roman" w:eastAsia="Times New Roman" w:hAnsi="Times New Roman"/>
          <w:b w:val="false"/>
          <w:bCs w:val="false"/>
          <w:i w:val="false"/>
          <w:iCs w:val="false"/>
          <w:sz w:val="22"/>
          <w:szCs w:val="22"/>
        </w:rPr>
        <w:t xml:space="preserve"> nació en España en 2017 para resolver exactamente esta fricción en el pádel y hoy gestiona miles de clubes deportivos en más de treinta países, facturando a través de comisiones por reserva y cuotas de software </w:t>
      </w:r>
      <w:r>
        <w:rPr>
          <w:rFonts w:ascii="Times New Roman" w:cs="Times New Roman" w:eastAsia="Times New Roman" w:hAnsi="Times New Roman"/>
          <w:b w:val="false"/>
          <w:bCs w:val="false"/>
          <w:i w:val="false"/>
          <w:iCs w:val="false"/>
          <w:sz w:val="22"/>
          <w:szCs w:val="22"/>
        </w:rPr>
        <w:t xml:space="preserve">(Forbes México, 2024)</w:t>
      </w:r>
      <w:r>
        <w:rPr>
          <w:rFonts w:ascii="Times New Roman" w:cs="Times New Roman" w:eastAsia="Times New Roman" w:hAnsi="Times New Roman"/>
          <w:b w:val="false"/>
          <w:bCs w:val="false"/>
          <w:i w:val="false"/>
          <w:iCs w:val="false"/>
          <w:sz w:val="22"/>
          <w:szCs w:val="22"/>
        </w:rPr>
        <w:t xml:space="preserve">. En el Perú, aplicativos como FairPlay han comenzado a validar la demanda local, permitiendo reservar canchas de fútbol "en menos de dos minutos" desde el celular </w:t>
      </w:r>
      <w:r>
        <w:rPr>
          <w:rFonts w:ascii="Times New Roman" w:cs="Times New Roman" w:eastAsia="Times New Roman" w:hAnsi="Times New Roman"/>
          <w:b w:val="false"/>
          <w:bCs w:val="false"/>
          <w:i w:val="false"/>
          <w:iCs w:val="false"/>
          <w:sz w:val="22"/>
          <w:szCs w:val="22"/>
        </w:rPr>
        <w:t xml:space="preserve">(El Comercio, 2022)</w:t>
      </w:r>
      <w:r>
        <w:rPr>
          <w:rFonts w:ascii="Times New Roman" w:cs="Times New Roman" w:eastAsia="Times New Roman" w:hAnsi="Times New Roman"/>
          <w:b w:val="false"/>
          <w:bCs w:val="false"/>
          <w:i w:val="false"/>
          <w:iCs w:val="false"/>
          <w:sz w:val="22"/>
          <w:szCs w:val="22"/>
        </w:rPr>
        <w:t xml:space="preserve">. No obstante, la oferta actual está concentrada en Lima y otras ciudades de la costa, y ningún actor ha construido una propuesta integral —que combine reservas con gestión de campeonatos— pensada específicamente para el mercado cusqueño.</w:t>
      </w:r>
    </w:p>
    <w:p>
      <w:pPr>
        <w:pStyle w:val="Heading2"/>
        <w:spacing w:after="160" w:before="300"/>
        <w:jc w:val="left"/>
      </w:pPr>
      <w:r>
        <w:rPr>
          <w:rFonts w:ascii="Times New Roman" w:cs="Times New Roman" w:eastAsia="Times New Roman" w:hAnsi="Times New Roman"/>
          <w:b/>
          <w:bCs/>
          <w:color w:val="12314F"/>
          <w:sz w:val="25"/>
          <w:szCs w:val="25"/>
        </w:rPr>
        <w:t xml:space="preserve">2.2 Justificación del Proyecto</w:t>
      </w:r>
    </w:p>
    <w:p>
      <w:pPr>
        <w:spacing w:after="160" w:line="264" w:lineRule="auto"/>
        <w:ind w:firstLine="720"/>
        <w:jc w:val="left"/>
      </w:pPr>
      <w:r>
        <w:rPr>
          <w:rFonts w:ascii="Times New Roman" w:cs="Times New Roman" w:eastAsia="Times New Roman" w:hAnsi="Times New Roman"/>
          <w:sz w:val="22"/>
          <w:szCs w:val="22"/>
        </w:rPr>
        <w:t xml:space="preserve">Este proyecto se justifica desde tres perspectivas complementarias: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Perspectiva de mercado: </w:t>
      </w:r>
      <w:r>
        <w:rPr>
          <w:rFonts w:ascii="Times New Roman" w:cs="Times New Roman" w:eastAsia="Times New Roman" w:hAnsi="Times New Roman"/>
          <w:b w:val="false"/>
          <w:bCs w:val="false"/>
          <w:i w:val="false"/>
          <w:iCs w:val="false"/>
          <w:sz w:val="22"/>
          <w:szCs w:val="22"/>
        </w:rPr>
        <w:t xml:space="preserve">el Cusco es la segunda ciudad más importante del sur del Perú, con una provincia que agrupa a la mayor parte de la población del departamento y una economía dinamizada por el turismo y los servicios, lo que sostiene un mercado local de consumo de ocio y deporte con capacidad de pago (Instituto Nacional de Estadística e Informática [INEI], 2018).</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Perspectiva tecnológica: </w:t>
      </w:r>
      <w:r>
        <w:rPr>
          <w:rFonts w:ascii="Times New Roman" w:cs="Times New Roman" w:eastAsia="Times New Roman" w:hAnsi="Times New Roman"/>
          <w:b w:val="false"/>
          <w:bCs w:val="false"/>
          <w:i w:val="false"/>
          <w:iCs w:val="false"/>
          <w:sz w:val="22"/>
          <w:szCs w:val="22"/>
        </w:rPr>
        <w:t xml:space="preserve">la masificación de billeteras digitales (Yape, Plin) y el crecimiento sostenido de la penetración de internet móvil en el Perú han eliminado buena parte de las barreras técnicas y culturales que antes dificultaban el pago digital de servicios cotidianos.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Perspectiva de negocio: </w:t>
      </w:r>
      <w:r>
        <w:rPr>
          <w:rFonts w:ascii="Times New Roman" w:cs="Times New Roman" w:eastAsia="Times New Roman" w:hAnsi="Times New Roman"/>
          <w:b w:val="false"/>
          <w:bCs w:val="false"/>
          <w:i w:val="false"/>
          <w:iCs w:val="false"/>
          <w:sz w:val="22"/>
          <w:szCs w:val="22"/>
        </w:rPr>
        <w:t xml:space="preserve">el modelo de marketplace con comisión por transacción ha demostrado ser rentable y escalable en industrias comparables (hospedaje, movilidad, delivery de alimentos), y su aplicación al deporte recreativo cuenta ya con validación internacional a través de Playtomic y otros actores regionales.</w:t>
      </w:r>
    </w:p>
    <w:p>
      <w:pPr>
        <w:pStyle w:val="Heading2"/>
        <w:spacing w:after="160" w:before="300"/>
        <w:jc w:val="left"/>
      </w:pPr>
      <w:r>
        <w:rPr>
          <w:rFonts w:ascii="Times New Roman" w:cs="Times New Roman" w:eastAsia="Times New Roman" w:hAnsi="Times New Roman"/>
          <w:b/>
          <w:bCs/>
          <w:color w:val="12314F"/>
          <w:sz w:val="25"/>
          <w:szCs w:val="25"/>
        </w:rPr>
        <w:t xml:space="preserve">2.3 Objetivos del Proyecto</w:t>
      </w:r>
    </w:p>
    <w:p>
      <w:pPr>
        <w:pStyle w:val="Heading3"/>
        <w:spacing w:after="140" w:before="220"/>
        <w:jc w:val="left"/>
      </w:pPr>
      <w:r>
        <w:rPr>
          <w:rFonts w:ascii="Times New Roman" w:cs="Times New Roman" w:eastAsia="Times New Roman" w:hAnsi="Times New Roman"/>
          <w:b/>
          <w:bCs/>
          <w:i/>
          <w:iCs/>
          <w:color w:val="1F4E79"/>
          <w:sz w:val="23"/>
          <w:szCs w:val="23"/>
        </w:rPr>
        <w:t xml:space="preserve">2.3.1 Objetivo General</w:t>
      </w:r>
    </w:p>
    <w:p>
      <w:pPr>
        <w:spacing w:after="160" w:line="264" w:lineRule="auto"/>
        <w:ind w:firstLine="720"/>
        <w:jc w:val="left"/>
      </w:pPr>
      <w:r>
        <w:rPr>
          <w:rFonts w:ascii="Times New Roman" w:cs="Times New Roman" w:eastAsia="Times New Roman" w:hAnsi="Times New Roman"/>
          <w:sz w:val="22"/>
          <w:szCs w:val="22"/>
        </w:rPr>
        <w:t xml:space="preserve">Diseñar, desarrollar y poner en operación una plataforma SaaS de reserva de canchas deportivas y gestión de campeonatos para la ciudad del Cusco, con un modelo de negocio rentable y escalable que sirva de base para una expansión regional hacia otras ciudades del sur y centro del Perú.</w:t>
      </w:r>
    </w:p>
    <w:p>
      <w:pPr>
        <w:pStyle w:val="Heading3"/>
        <w:spacing w:after="140" w:before="220"/>
        <w:jc w:val="left"/>
      </w:pPr>
      <w:r>
        <w:rPr>
          <w:rFonts w:ascii="Times New Roman" w:cs="Times New Roman" w:eastAsia="Times New Roman" w:hAnsi="Times New Roman"/>
          <w:b/>
          <w:bCs/>
          <w:i/>
          <w:iCs/>
          <w:color w:val="1F4E79"/>
          <w:sz w:val="23"/>
          <w:szCs w:val="23"/>
        </w:rPr>
        <w:t xml:space="preserve">2.3.2 Objetivos Específicos</w:t>
      </w:r>
    </w:p>
    <w:p>
      <w:pPr>
        <w:pStyle w:val="ListParagraph"/>
        <w:numPr>
          <w:ilvl w:val="0"/>
          <w:numId w:val="3"/>
        </w:numPr>
        <w:spacing w:after="90" w:line="252" w:lineRule="auto"/>
        <w:jc w:val="left"/>
      </w:pPr>
      <w:r>
        <w:rPr>
          <w:rFonts w:ascii="Times New Roman" w:cs="Times New Roman" w:eastAsia="Times New Roman" w:hAnsi="Times New Roman"/>
          <w:sz w:val="22"/>
          <w:szCs w:val="22"/>
        </w:rPr>
        <w:t xml:space="preserve">Digitalizar el proceso de reserva de canchas deportivas para al menos 45 centros deportivos cusqueños durante el primer año de operación.</w:t>
      </w:r>
    </w:p>
    <w:p>
      <w:pPr>
        <w:pStyle w:val="ListParagraph"/>
        <w:numPr>
          <w:ilvl w:val="0"/>
          <w:numId w:val="3"/>
        </w:numPr>
        <w:spacing w:after="90" w:line="252" w:lineRule="auto"/>
        <w:jc w:val="left"/>
      </w:pPr>
      <w:r>
        <w:rPr>
          <w:rFonts w:ascii="Times New Roman" w:cs="Times New Roman" w:eastAsia="Times New Roman" w:hAnsi="Times New Roman"/>
          <w:sz w:val="22"/>
          <w:szCs w:val="22"/>
        </w:rPr>
        <w:t xml:space="preserve">Desarrollar un módulo de organización de campeonatos que permita a instituciones públicas y privadas gestionar cuadros de competencia, inscripciones y resultados de forma centralizada.</w:t>
      </w:r>
    </w:p>
    <w:p>
      <w:pPr>
        <w:pStyle w:val="ListParagraph"/>
        <w:numPr>
          <w:ilvl w:val="0"/>
          <w:numId w:val="3"/>
        </w:numPr>
        <w:spacing w:after="90" w:line="252" w:lineRule="auto"/>
        <w:jc w:val="left"/>
      </w:pPr>
      <w:r>
        <w:rPr>
          <w:rFonts w:ascii="Times New Roman" w:cs="Times New Roman" w:eastAsia="Times New Roman" w:hAnsi="Times New Roman"/>
          <w:sz w:val="22"/>
          <w:szCs w:val="22"/>
        </w:rPr>
        <w:t xml:space="preserve">Alcanzar el punto de equilibrio operativo de la empresa dentro de los primeros 36 meses de operación.</w:t>
      </w:r>
    </w:p>
    <w:p>
      <w:pPr>
        <w:pStyle w:val="ListParagraph"/>
        <w:numPr>
          <w:ilvl w:val="0"/>
          <w:numId w:val="3"/>
        </w:numPr>
        <w:spacing w:after="90" w:line="252" w:lineRule="auto"/>
        <w:jc w:val="left"/>
      </w:pPr>
      <w:r>
        <w:rPr>
          <w:rFonts w:ascii="Times New Roman" w:cs="Times New Roman" w:eastAsia="Times New Roman" w:hAnsi="Times New Roman"/>
          <w:sz w:val="22"/>
          <w:szCs w:val="22"/>
        </w:rPr>
        <w:t xml:space="preserve">Establecer una estructura de inversión y gobierno corporativo que permita levantar una ronda de capital semilla de S/ 950,000 y sentar las bases para una futura ronda de expansión regional.</w:t>
      </w:r>
    </w:p>
    <w:p>
      <w:pPr>
        <w:pStyle w:val="ListParagraph"/>
        <w:numPr>
          <w:ilvl w:val="0"/>
          <w:numId w:val="3"/>
        </w:numPr>
        <w:spacing w:after="90" w:line="252" w:lineRule="auto"/>
        <w:jc w:val="left"/>
      </w:pPr>
      <w:r>
        <w:rPr>
          <w:rFonts w:ascii="Times New Roman" w:cs="Times New Roman" w:eastAsia="Times New Roman" w:hAnsi="Times New Roman"/>
          <w:sz w:val="22"/>
          <w:szCs w:val="22"/>
        </w:rPr>
        <w:t xml:space="preserve">Construir una arquitectura tecnológica escalable, segura y alineada con la normativa peruana de protección de datos personales, capaz de soportar el crecimiento hacia nuevas ciudades sin rediseños mayores.</w:t>
      </w:r>
    </w:p>
    <w:p>
      <w:pPr>
        <w:pStyle w:val="Heading2"/>
        <w:spacing w:after="160" w:before="300"/>
        <w:jc w:val="left"/>
      </w:pPr>
      <w:r>
        <w:rPr>
          <w:rFonts w:ascii="Times New Roman" w:cs="Times New Roman" w:eastAsia="Times New Roman" w:hAnsi="Times New Roman"/>
          <w:b/>
          <w:bCs/>
          <w:color w:val="12314F"/>
          <w:sz w:val="25"/>
          <w:szCs w:val="25"/>
        </w:rPr>
        <w:t xml:space="preserve">2.4 Metodología del Documento</w:t>
      </w:r>
    </w:p>
    <w:p>
      <w:pPr>
        <w:spacing w:after="160" w:line="264" w:lineRule="auto"/>
        <w:ind w:firstLine="720"/>
        <w:jc w:val="left"/>
      </w:pPr>
      <w:r>
        <w:rPr>
          <w:rFonts w:ascii="Times New Roman" w:cs="Times New Roman" w:eastAsia="Times New Roman" w:hAnsi="Times New Roman"/>
          <w:sz w:val="22"/>
          <w:szCs w:val="22"/>
        </w:rPr>
        <w:t xml:space="preserve">Este plan de negocios combina información secundaria (estudios de mercado disponibles públicamente, normativa peruana vigente, benchmarks de la industria) con supuestos propios desarrollados por el equipo fundador para las proyecciones financieras. Cuando una cifra o afirmación proviene de una fuente externa, se cita conforme al formato APA, 7.ª edición, y se referencia en su totalidad en la sección de referencias. Cuando una cifra constituye un supuesto o una estimación propia —como es habitual en todo plan de negocios en etapa temprana—, así se indica explícitamente en el texto.</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3. Descripción del Negocio</w:t>
      </w:r>
    </w:p>
    <w:p>
      <w:pPr>
        <w:pStyle w:val="Heading2"/>
        <w:spacing w:after="160" w:before="300"/>
        <w:jc w:val="left"/>
      </w:pPr>
      <w:r>
        <w:rPr>
          <w:rFonts w:ascii="Times New Roman" w:cs="Times New Roman" w:eastAsia="Times New Roman" w:hAnsi="Times New Roman"/>
          <w:b/>
          <w:bCs/>
          <w:color w:val="12314F"/>
          <w:sz w:val="25"/>
          <w:szCs w:val="25"/>
        </w:rPr>
        <w:t xml:space="preserve">3.1 Visión</w:t>
      </w:r>
    </w:p>
    <w:p>
      <w:pPr>
        <w:spacing w:after="160" w:line="264" w:lineRule="auto"/>
        <w:ind w:firstLine="720"/>
        <w:jc w:val="left"/>
      </w:pPr>
      <w:r>
        <w:rPr>
          <w:rFonts w:ascii="Times New Roman" w:cs="Times New Roman" w:eastAsia="Times New Roman" w:hAnsi="Times New Roman"/>
          <w:sz w:val="22"/>
          <w:szCs w:val="22"/>
        </w:rPr>
        <w:t xml:space="preserve">Ser, hacia el año 2033, la plataforma digital líder de reserva deportiva y gestión de campeonatos en el sur del Perú, reconocida por deportistas, centros deportivos e instituciones como el canal por defecto para organizar la práctica del deporte recreativo y competitivo.</w:t>
      </w:r>
    </w:p>
    <w:p>
      <w:pPr>
        <w:pStyle w:val="Heading2"/>
        <w:spacing w:after="160" w:before="300"/>
        <w:jc w:val="left"/>
      </w:pPr>
      <w:r>
        <w:rPr>
          <w:rFonts w:ascii="Times New Roman" w:cs="Times New Roman" w:eastAsia="Times New Roman" w:hAnsi="Times New Roman"/>
          <w:b/>
          <w:bCs/>
          <w:color w:val="12314F"/>
          <w:sz w:val="25"/>
          <w:szCs w:val="25"/>
        </w:rPr>
        <w:t xml:space="preserve">3.2 Misión</w:t>
      </w:r>
    </w:p>
    <w:p>
      <w:pPr>
        <w:spacing w:after="160" w:line="264" w:lineRule="auto"/>
        <w:ind w:firstLine="720"/>
        <w:jc w:val="left"/>
      </w:pPr>
      <w:r>
        <w:rPr>
          <w:rFonts w:ascii="Times New Roman" w:cs="Times New Roman" w:eastAsia="Times New Roman" w:hAnsi="Times New Roman"/>
          <w:sz w:val="22"/>
          <w:szCs w:val="22"/>
        </w:rPr>
        <w:t xml:space="preserve">Conectar a los deportistas del Cusco con los centros deportivos de su ciudad a través de una plataforma simple, confiable y accesible, mientras entregamos a los administradores de esos centros las herramientas digitales que necesitan para gestionar su negocio, aumentar su ocupación y profesionalizar la organización de campeonatos.</w:t>
      </w:r>
    </w:p>
    <w:p>
      <w:pPr>
        <w:pStyle w:val="Heading2"/>
        <w:spacing w:after="160" w:before="300"/>
        <w:jc w:val="left"/>
      </w:pPr>
      <w:r>
        <w:rPr>
          <w:rFonts w:ascii="Times New Roman" w:cs="Times New Roman" w:eastAsia="Times New Roman" w:hAnsi="Times New Roman"/>
          <w:b/>
          <w:bCs/>
          <w:color w:val="12314F"/>
          <w:sz w:val="25"/>
          <w:szCs w:val="25"/>
        </w:rPr>
        <w:t xml:space="preserve">3.3 Valores Corporativos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Confianza: </w:t>
      </w:r>
      <w:r>
        <w:rPr>
          <w:rFonts w:ascii="Times New Roman" w:cs="Times New Roman" w:eastAsia="Times New Roman" w:hAnsi="Times New Roman"/>
          <w:b w:val="false"/>
          <w:bCs w:val="false"/>
          <w:i w:val="false"/>
          <w:iCs w:val="false"/>
          <w:sz w:val="22"/>
          <w:szCs w:val="22"/>
        </w:rPr>
        <w:t xml:space="preserve">cada reserva y cada pago debe ser predecible, seguro y verificable para ambas partes del mercado.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Cercanía local: </w:t>
      </w:r>
      <w:r>
        <w:rPr>
          <w:rFonts w:ascii="Times New Roman" w:cs="Times New Roman" w:eastAsia="Times New Roman" w:hAnsi="Times New Roman"/>
          <w:b w:val="false"/>
          <w:bCs w:val="false"/>
          <w:i w:val="false"/>
          <w:iCs w:val="false"/>
          <w:sz w:val="22"/>
          <w:szCs w:val="22"/>
        </w:rPr>
        <w:t xml:space="preserve">aunque el modelo es escalable, la operación se construye desde y para la realidad cusqueña, con soporte y onboarding presencial en la etapa inicial.</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Simplicidad: </w:t>
      </w:r>
      <w:r>
        <w:rPr>
          <w:rFonts w:ascii="Times New Roman" w:cs="Times New Roman" w:eastAsia="Times New Roman" w:hAnsi="Times New Roman"/>
          <w:b w:val="false"/>
          <w:bCs w:val="false"/>
          <w:i w:val="false"/>
          <w:iCs w:val="false"/>
          <w:sz w:val="22"/>
          <w:szCs w:val="22"/>
        </w:rPr>
        <w:t xml:space="preserve">la reserva de una cancha o la inscripción a un campeonato debe poder completarse en menos de dos minutos.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Juego limpio con los socios: </w:t>
      </w:r>
      <w:r>
        <w:rPr>
          <w:rFonts w:ascii="Times New Roman" w:cs="Times New Roman" w:eastAsia="Times New Roman" w:hAnsi="Times New Roman"/>
          <w:b w:val="false"/>
          <w:bCs w:val="false"/>
          <w:i w:val="false"/>
          <w:iCs w:val="false"/>
          <w:sz w:val="22"/>
          <w:szCs w:val="22"/>
        </w:rPr>
        <w:t xml:space="preserve">las comisiones y condiciones comerciales con los centros deportivos se comunican de forma transparente, sin letra pequeña.</w:t>
      </w:r>
    </w:p>
    <w:p>
      <w:pPr>
        <w:pStyle w:val="Heading2"/>
        <w:spacing w:after="160" w:before="300"/>
        <w:jc w:val="left"/>
      </w:pPr>
      <w:r>
        <w:rPr>
          <w:rFonts w:ascii="Times New Roman" w:cs="Times New Roman" w:eastAsia="Times New Roman" w:hAnsi="Times New Roman"/>
          <w:b/>
          <w:bCs/>
          <w:color w:val="12314F"/>
          <w:sz w:val="25"/>
          <w:szCs w:val="25"/>
        </w:rPr>
        <w:t xml:space="preserve">3.4 Propuesta de Valor</w:t>
      </w:r>
    </w:p>
    <w:p>
      <w:pPr>
        <w:spacing w:after="160" w:line="264" w:lineRule="auto"/>
        <w:ind w:firstLine="720"/>
        <w:jc w:val="left"/>
      </w:pPr>
      <w:r>
        <w:rPr>
          <w:rFonts w:ascii="Times New Roman" w:cs="Times New Roman" w:eastAsia="Times New Roman" w:hAnsi="Times New Roman"/>
          <w:sz w:val="22"/>
          <w:szCs w:val="22"/>
        </w:rPr>
        <w:t xml:space="preserve">KanchaYA crea valor diferenciado para cada uno de los dos lados del mercado que conecta:</w:t>
      </w:r>
    </w:p>
    <w:p>
      <w:pPr>
        <w:pStyle w:val="Heading3"/>
        <w:spacing w:after="140" w:before="220"/>
        <w:jc w:val="left"/>
      </w:pPr>
      <w:r>
        <w:rPr>
          <w:rFonts w:ascii="Times New Roman" w:cs="Times New Roman" w:eastAsia="Times New Roman" w:hAnsi="Times New Roman"/>
          <w:b/>
          <w:bCs/>
          <w:i/>
          <w:iCs/>
          <w:color w:val="1F4E79"/>
          <w:sz w:val="23"/>
          <w:szCs w:val="23"/>
        </w:rPr>
        <w:t xml:space="preserve">3.4.1 Para el Deportista (Demanda)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Búsqueda y comparación de canchas disponibles por deporte, distrito, precio y horario, en un solo lugar.</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Reserva y pago en línea en menos de dos minutos, sin llamadas ni esperas de confirmación.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Historial de reservas, canchas favoritas y recomendaciones personalizadas.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Posibilidad de inscribirse a campeonatos organizados por instituciones públicas o privadas desde la misma aplicación.</w:t>
      </w:r>
    </w:p>
    <w:p>
      <w:pPr>
        <w:pStyle w:val="Heading3"/>
        <w:spacing w:after="140" w:before="220"/>
        <w:jc w:val="left"/>
      </w:pPr>
      <w:r>
        <w:rPr>
          <w:rFonts w:ascii="Times New Roman" w:cs="Times New Roman" w:eastAsia="Times New Roman" w:hAnsi="Times New Roman"/>
          <w:b/>
          <w:bCs/>
          <w:i/>
          <w:iCs/>
          <w:color w:val="1F4E79"/>
          <w:sz w:val="23"/>
          <w:szCs w:val="23"/>
        </w:rPr>
        <w:t xml:space="preserve">3.4.2 Para el Centro Deportivo (Oferta)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Mayor visibilidad y ocupación de sus canchas, especialmente en horarios de baja demanda.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Panel de administración con calendario, reportes de ingresos y control de pagos, sin necesidad de personal adicional.</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Cobro garantizado: la plataforma gestiona el pago digital y reduce el riesgo de reservas sin confirmación ("plantones").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Herramientas para organizar y promocionar sus propios campeonatos o torneos internos.</w:t>
      </w:r>
    </w:p>
    <w:p>
      <w:pPr>
        <w:pStyle w:val="Heading3"/>
        <w:spacing w:after="140" w:before="220"/>
        <w:jc w:val="left"/>
      </w:pPr>
      <w:r>
        <w:rPr>
          <w:rFonts w:ascii="Times New Roman" w:cs="Times New Roman" w:eastAsia="Times New Roman" w:hAnsi="Times New Roman"/>
          <w:b/>
          <w:bCs/>
          <w:i/>
          <w:iCs/>
          <w:color w:val="1F4E79"/>
          <w:sz w:val="23"/>
          <w:szCs w:val="23"/>
        </w:rPr>
        <w:t xml:space="preserve">3.4.3 Para Instituciones Públicas y Privadas (Campeonatos)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Creación de cuadros de competencia (eliminación directa, todos contra todos o formatos mixtos) sin depender de hojas de cálculo.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Gestión centralizada de inscripciones, pagos y comunicación con los equipos participantes.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Publicación en tiempo real de resultados, tablas de posiciones y calendarios de partidos.</w:t>
      </w:r>
    </w:p>
    <w:p>
      <w:pPr>
        <w:pStyle w:val="Heading2"/>
        <w:spacing w:after="160" w:before="300"/>
        <w:jc w:val="left"/>
      </w:pPr>
      <w:r>
        <w:rPr>
          <w:rFonts w:ascii="Times New Roman" w:cs="Times New Roman" w:eastAsia="Times New Roman" w:hAnsi="Times New Roman"/>
          <w:b/>
          <w:bCs/>
          <w:color w:val="12314F"/>
          <w:sz w:val="25"/>
          <w:szCs w:val="25"/>
        </w:rPr>
        <w:t xml:space="preserve">3.5 Modelo de Negocio (Business Model Canvas)</w:t>
      </w:r>
    </w:p>
    <w:p>
      <w:pPr>
        <w:spacing w:after="160" w:line="264" w:lineRule="auto"/>
        <w:ind w:firstLine="720"/>
        <w:jc w:val="left"/>
      </w:pPr>
      <w:r>
        <w:rPr>
          <w:rFonts w:ascii="Times New Roman" w:cs="Times New Roman" w:eastAsia="Times New Roman" w:hAnsi="Times New Roman"/>
          <w:sz w:val="22"/>
          <w:szCs w:val="22"/>
        </w:rPr>
        <w:t xml:space="preserve">El modelo de negocio de KanchaYA se resume en el siguiente lienzo Canvas, adaptado del marco metodológico propuesto por Osterwalder y Pigneur (2010) para el diseño de modelos de negocio innovadores.</w:t>
      </w:r>
    </w:p>
    <w:p>
      <w:pPr>
        <w:spacing w:after="80" w:before="120"/>
        <w:jc w:val="center"/>
      </w:pPr>
      <w:r>
        <w:drawing>
          <wp:inline distT="0" distB="0" distL="0" distR="0">
            <wp:extent cx="58483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543300"/>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1</w:t>
      </w:r>
      <w:r>
        <w:rPr>
          <w:rFonts w:ascii="Times New Roman" w:cs="Times New Roman" w:eastAsia="Times New Roman" w:hAnsi="Times New Roman"/>
          <w:i/>
          <w:iCs/>
          <w:sz w:val="20"/>
          <w:szCs w:val="20"/>
        </w:rPr>
        <w:t xml:space="preserve">. Modelo Canvas de negocio de KanchaYA.</w:t>
      </w:r>
    </w:p>
    <w:p>
      <w:pPr>
        <w:spacing w:after="200" w:before="40"/>
        <w:jc w:val="left"/>
      </w:pPr>
      <w:r>
        <w:rPr>
          <w:rFonts w:ascii="Times New Roman" w:cs="Times New Roman" w:eastAsia="Times New Roman" w:hAnsi="Times New Roman"/>
          <w:i/>
          <w:iCs/>
          <w:color w:val="5A6672"/>
          <w:sz w:val="18"/>
          <w:szCs w:val="18"/>
        </w:rPr>
        <w:t xml:space="preserve">Nota. Elaboración propia, adaptado del marco de Osterwalder y Pigneur (2010).</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4. Análisis de Mercado</w:t>
      </w:r>
    </w:p>
    <w:p>
      <w:pPr>
        <w:pStyle w:val="Heading2"/>
        <w:spacing w:after="160" w:before="300"/>
        <w:jc w:val="left"/>
      </w:pPr>
      <w:r>
        <w:rPr>
          <w:rFonts w:ascii="Times New Roman" w:cs="Times New Roman" w:eastAsia="Times New Roman" w:hAnsi="Times New Roman"/>
          <w:b/>
          <w:bCs/>
          <w:color w:val="12314F"/>
          <w:sz w:val="25"/>
          <w:szCs w:val="25"/>
        </w:rPr>
        <w:t xml:space="preserve">4.1 Contexto Demográfico y Tecnológico</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Según los resultados del Censo Nacional 2017, la provincia de Cusco concentraba 447,588 habitantes, equivalentes a poco más de un tercio de la población total del departamento, siendo la provincia más poblada de la región </w:t>
      </w:r>
      <w:r>
        <w:rPr>
          <w:rFonts w:ascii="Times New Roman" w:cs="Times New Roman" w:eastAsia="Times New Roman" w:hAnsi="Times New Roman"/>
          <w:b w:val="false"/>
          <w:bCs w:val="false"/>
          <w:i w:val="false"/>
          <w:iCs w:val="false"/>
          <w:sz w:val="22"/>
          <w:szCs w:val="22"/>
        </w:rPr>
        <w:t xml:space="preserve">(Instituto Nacional de Estadística e Informática [INEI], 2018)</w:t>
      </w:r>
      <w:r>
        <w:rPr>
          <w:rFonts w:ascii="Times New Roman" w:cs="Times New Roman" w:eastAsia="Times New Roman" w:hAnsi="Times New Roman"/>
          <w:b w:val="false"/>
          <w:bCs w:val="false"/>
          <w:i w:val="false"/>
          <w:iCs w:val="false"/>
          <w:sz w:val="22"/>
          <w:szCs w:val="22"/>
        </w:rPr>
        <w:t xml:space="preserve">. Aplicando la tasa de crecimiento intercensal promedio anual registrada para la provincia en el periodo 2007-2017 (aproximadamente 2.0 % anual), la población de la provincia de Cusco hacia el año 2026 puede estimarse en el orden de las 530,000 personas. Se trata, además, de una población mayoritariamente urbana: el 60.7 % de la población censada del departamento reside en centros poblados urbanos </w:t>
      </w:r>
      <w:r>
        <w:rPr>
          <w:rFonts w:ascii="Times New Roman" w:cs="Times New Roman" w:eastAsia="Times New Roman" w:hAnsi="Times New Roman"/>
          <w:b w:val="false"/>
          <w:bCs w:val="false"/>
          <w:i w:val="false"/>
          <w:iCs w:val="false"/>
          <w:sz w:val="22"/>
          <w:szCs w:val="22"/>
        </w:rPr>
        <w:t xml:space="preserve">(INEI, 2018)</w:t>
      </w:r>
      <w:r>
        <w:rPr>
          <w:rFonts w:ascii="Times New Roman" w:cs="Times New Roman" w:eastAsia="Times New Roman" w:hAnsi="Times New Roman"/>
          <w:b w:val="false"/>
          <w:bCs w:val="false"/>
          <w:i w:val="false"/>
          <w:iCs w:val="false"/>
          <w:sz w:val="22"/>
          <w:szCs w:val="22"/>
        </w:rPr>
        <w:t xml:space="preserve">, lo que concentra a la mayor parte de la demanda potencial de servicios digitales dentro del área de cobertura previsible de la plataforma en su primera fase.</w:t>
      </w:r>
    </w:p>
    <w:p>
      <w:pPr>
        <w:spacing w:after="160" w:line="264" w:lineRule="auto"/>
        <w:ind w:firstLine="720"/>
        <w:jc w:val="left"/>
      </w:pPr>
      <w:r>
        <w:rPr>
          <w:rFonts w:ascii="Times New Roman" w:cs="Times New Roman" w:eastAsia="Times New Roman" w:hAnsi="Times New Roman"/>
          <w:sz w:val="22"/>
          <w:szCs w:val="22"/>
        </w:rPr>
        <w:t xml:space="preserve">A esta base poblacional residente se suma un componente relevante y particular del mercado cusqueño: un flujo turístico nacional y extranjero que, aunque no constituye el segmento primario de este plan, representa una oportunidad complementaria de mediano plazo (por ejemplo, turistas y visitantes que buscan practicar deporte durante su estadía, o equipos visitantes que participan en campeonatos).</w:t>
      </w:r>
    </w:p>
    <w:p>
      <w:pPr>
        <w:spacing w:after="160" w:line="264" w:lineRule="auto"/>
        <w:ind w:firstLine="720"/>
        <w:jc w:val="left"/>
      </w:pPr>
      <w:r>
        <w:rPr>
          <w:rFonts w:ascii="Times New Roman" w:cs="Times New Roman" w:eastAsia="Times New Roman" w:hAnsi="Times New Roman"/>
          <w:sz w:val="22"/>
          <w:szCs w:val="22"/>
        </w:rPr>
        <w:t xml:space="preserve">En el plano tecnológico, la masificación de billeteras digitales móviles —en particular Yape y Plin, que ya operan de forma nativa en la mayoría de pasarelas de pago peruanas— ha normalizado el hábito de pago digital entre la población de 18 a 45 años, el segmento demográfico que concentra la mayor parte de la práctica deportiva recreativa. Esta tendencia reduce significativamente la barrera de adopción que, hace algunos años, habría representado el principal riesgo de este modelo de negocio.</w:t>
      </w:r>
    </w:p>
    <w:p>
      <w:pPr>
        <w:pStyle w:val="Heading2"/>
        <w:spacing w:after="160" w:before="300"/>
        <w:jc w:val="left"/>
      </w:pPr>
      <w:r>
        <w:rPr>
          <w:rFonts w:ascii="Times New Roman" w:cs="Times New Roman" w:eastAsia="Times New Roman" w:hAnsi="Times New Roman"/>
          <w:b/>
          <w:bCs/>
          <w:color w:val="12314F"/>
          <w:sz w:val="25"/>
          <w:szCs w:val="25"/>
        </w:rPr>
        <w:t xml:space="preserve">4.2 Mercado Objetivo (Fase 1: Cusco)</w:t>
      </w:r>
    </w:p>
    <w:p>
      <w:pPr>
        <w:spacing w:after="160" w:line="264" w:lineRule="auto"/>
        <w:ind w:firstLine="720"/>
        <w:jc w:val="left"/>
      </w:pPr>
      <w:r>
        <w:rPr>
          <w:rFonts w:ascii="Times New Roman" w:cs="Times New Roman" w:eastAsia="Times New Roman" w:hAnsi="Times New Roman"/>
          <w:sz w:val="22"/>
          <w:szCs w:val="22"/>
        </w:rPr>
        <w:t xml:space="preserve">El universo de centros deportivos formales e informales dentro del área urbana de Cusco —incluyendo complejos de fútbol siete, losas multideportivas, canchas de vóley y básquet, y clubes de pádel— se estima, sobre la base de directorios comerciales y trabajo de campo preliminar, en un rango de entre 100 y 120 establecimientos activos. Esta cifra constituye el universo de "oferta" que la plataforma buscará afiliar durante las primeras tres fases de implementación.</w:t>
      </w:r>
    </w:p>
    <w:p>
      <w:pPr>
        <w:spacing w:after="160" w:line="264" w:lineRule="auto"/>
        <w:ind w:firstLine="720"/>
        <w:jc w:val="left"/>
      </w:pPr>
      <w:r>
        <w:rPr>
          <w:rFonts w:ascii="Times New Roman" w:cs="Times New Roman" w:eastAsia="Times New Roman" w:hAnsi="Times New Roman"/>
          <w:sz w:val="22"/>
          <w:szCs w:val="22"/>
        </w:rPr>
        <w:t xml:space="preserve">Del lado de la demanda, el segmento objetivo primario son hombres y mujeres de 18 a 45 años que practican deporte de forma recreativa o semicompetitiva al menos una vez por semana —ya sea de forma individual, en grupos de amigos, en equipos de trabajo o en ligas barriales— y que cuentan con acceso a un teléfono inteligente y a al menos un medio de pago digital.</w:t>
      </w:r>
    </w:p>
    <w:p>
      <w:pPr>
        <w:pStyle w:val="Heading2"/>
        <w:spacing w:after="160" w:before="300"/>
        <w:jc w:val="left"/>
      </w:pPr>
      <w:r>
        <w:rPr>
          <w:rFonts w:ascii="Times New Roman" w:cs="Times New Roman" w:eastAsia="Times New Roman" w:hAnsi="Times New Roman"/>
          <w:b/>
          <w:bCs/>
          <w:color w:val="12314F"/>
          <w:sz w:val="25"/>
          <w:szCs w:val="25"/>
        </w:rPr>
        <w:t xml:space="preserve">4.3 Tamaño de Mercado: TAM, SAM y SOM</w:t>
      </w:r>
    </w:p>
    <w:p>
      <w:pPr>
        <w:spacing w:after="160" w:line="264" w:lineRule="auto"/>
        <w:ind w:firstLine="720"/>
        <w:jc w:val="left"/>
      </w:pPr>
      <w:r>
        <w:rPr>
          <w:rFonts w:ascii="Times New Roman" w:cs="Times New Roman" w:eastAsia="Times New Roman" w:hAnsi="Times New Roman"/>
          <w:sz w:val="22"/>
          <w:szCs w:val="22"/>
        </w:rPr>
        <w:t xml:space="preserve">Para dimensionar la oportunidad se utiliza el marco estándar de Mercado Total Disponible (TAM), Mercado Disponible Servible (SAM) y Mercado Obtenible Servible (SOM), estimados a partir del valor transaccionado (GMV) potencial en reservas deportivas formales:</w:t>
      </w:r>
    </w:p>
    <w:p>
      <w:pPr>
        <w:spacing w:after="80" w:before="120"/>
        <w:jc w:val="center"/>
      </w:pPr>
      <w:r>
        <w:drawing>
          <wp:inline distT="0" distB="0" distL="0" distR="0">
            <wp:extent cx="42100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4314825"/>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2</w:t>
      </w:r>
      <w:r>
        <w:rPr>
          <w:rFonts w:ascii="Times New Roman" w:cs="Times New Roman" w:eastAsia="Times New Roman" w:hAnsi="Times New Roman"/>
          <w:i/>
          <w:iCs/>
          <w:sz w:val="20"/>
          <w:szCs w:val="20"/>
        </w:rPr>
        <w:t xml:space="preserve">. Tamaño de mercado estimado: TAM, SAM y SOM.</w:t>
      </w:r>
    </w:p>
    <w:p>
      <w:pPr>
        <w:spacing w:after="200" w:before="40"/>
        <w:jc w:val="left"/>
      </w:pPr>
      <w:r>
        <w:rPr>
          <w:rFonts w:ascii="Times New Roman" w:cs="Times New Roman" w:eastAsia="Times New Roman" w:hAnsi="Times New Roman"/>
          <w:i/>
          <w:iCs/>
          <w:color w:val="5A6672"/>
          <w:sz w:val="18"/>
          <w:szCs w:val="18"/>
        </w:rPr>
        <w:t xml:space="preserve">Nota. Elaboración propia, sobre la base de estimaciones de gasto en alquiler de canchas deportivas y proyecciones de población urbana (INEI, 2018).</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TAM (Mercado Total): </w:t>
      </w:r>
      <w:r>
        <w:rPr>
          <w:rFonts w:ascii="Times New Roman" w:cs="Times New Roman" w:eastAsia="Times New Roman" w:hAnsi="Times New Roman"/>
          <w:b w:val="false"/>
          <w:bCs w:val="false"/>
          <w:i w:val="false"/>
          <w:iCs w:val="false"/>
          <w:sz w:val="22"/>
          <w:szCs w:val="22"/>
        </w:rPr>
        <w:t xml:space="preserve">se estima en aproximadamente S/ 480 millones anuales, calculado como el gasto potencial agregado en alquiler formal de canchas deportivas en las principales ciudades urbanas del Perú.</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SAM (Mercado Disponible): </w:t>
      </w:r>
      <w:r>
        <w:rPr>
          <w:rFonts w:ascii="Times New Roman" w:cs="Times New Roman" w:eastAsia="Times New Roman" w:hAnsi="Times New Roman"/>
          <w:b w:val="false"/>
          <w:bCs w:val="false"/>
          <w:i w:val="false"/>
          <w:iCs w:val="false"/>
          <w:sz w:val="22"/>
          <w:szCs w:val="22"/>
        </w:rPr>
        <w:t xml:space="preserve">aproximadamente S/ 62 millones anuales, correspondientes al gasto en canchas deportivas dentro de los mercados geográficos que KanchaYA planea atender en sus primeras tres fases (Cusco, Valle Sagrado, Arequipa y Puno).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SOM (Mercado Obtenible): </w:t>
      </w:r>
      <w:r>
        <w:rPr>
          <w:rFonts w:ascii="Times New Roman" w:cs="Times New Roman" w:eastAsia="Times New Roman" w:hAnsi="Times New Roman"/>
          <w:b w:val="false"/>
          <w:bCs w:val="false"/>
          <w:i w:val="false"/>
          <w:iCs w:val="false"/>
          <w:sz w:val="22"/>
          <w:szCs w:val="22"/>
        </w:rPr>
        <w:t xml:space="preserve">aproximadamente S/ 9.3 millones anuales en ingresos de plataforma, como meta de mediano plazo (5 a 7 años), equivalente a capturar entre el 12 % y el 18 % del SAM una vez consolidada la operación multi-ciudad.</w:t>
      </w:r>
    </w:p>
    <w:p>
      <w:pPr>
        <w:spacing w:after="160" w:line="264" w:lineRule="auto"/>
        <w:ind w:firstLine="720"/>
        <w:jc w:val="left"/>
      </w:pPr>
      <w:r>
        <w:rPr>
          <w:rFonts w:ascii="Times New Roman" w:cs="Times New Roman" w:eastAsia="Times New Roman" w:hAnsi="Times New Roman"/>
          <w:sz w:val="22"/>
          <w:szCs w:val="22"/>
        </w:rPr>
        <w:t xml:space="preserve">Estas cifras constituyen estimaciones internas del equipo fundador elaboradas para efectos de planificación y deben ser validadas con estudios de mercado primarios (encuestas a centros deportivos y deportistas) durante la fase de debida diligencia.</w:t>
      </w:r>
    </w:p>
    <w:p>
      <w:pPr>
        <w:pStyle w:val="Heading2"/>
        <w:spacing w:after="160" w:before="300"/>
        <w:jc w:val="left"/>
      </w:pPr>
      <w:r>
        <w:rPr>
          <w:rFonts w:ascii="Times New Roman" w:cs="Times New Roman" w:eastAsia="Times New Roman" w:hAnsi="Times New Roman"/>
          <w:b/>
          <w:bCs/>
          <w:color w:val="12314F"/>
          <w:sz w:val="25"/>
          <w:szCs w:val="25"/>
        </w:rPr>
        <w:t xml:space="preserve">4.4 Análisis de la Competencia</w:t>
      </w:r>
    </w:p>
    <w:p>
      <w:pPr>
        <w:spacing w:after="160" w:line="264" w:lineRule="auto"/>
        <w:ind w:firstLine="720"/>
        <w:jc w:val="left"/>
      </w:pPr>
      <w:r>
        <w:rPr>
          <w:rFonts w:ascii="Times New Roman" w:cs="Times New Roman" w:eastAsia="Times New Roman" w:hAnsi="Times New Roman"/>
          <w:sz w:val="22"/>
          <w:szCs w:val="22"/>
        </w:rPr>
        <w:t xml:space="preserve">El mercado peruano de reservas deportivas digitales se encuentra en una etapa temprana de desarrollo, sin un actor dominante consolidado a nivel nacional. Los principales referentes, locales e internacionales, se resumen a continuación:</w:t>
      </w:r>
    </w:p>
    <w:p>
      <w:pPr>
        <w:spacing w:after="100"/>
        <w:jc w:val="left"/>
      </w:pPr>
      <w:r>
        <w:rPr>
          <w:rFonts w:ascii="Times New Roman" w:cs="Times New Roman" w:eastAsia="Times New Roman" w:hAnsi="Times New Roman"/>
          <w:i/>
          <w:iCs/>
          <w:sz w:val="20"/>
          <w:szCs w:val="20"/>
        </w:rPr>
        <w:t xml:space="preserve">Tabla 2. Análisis comparativo de competidores</w:t>
      </w:r>
    </w:p>
    <w:tbl>
      <w:tblPr>
        <w:tblW w:type="dxa" w:w="9900"/>
        <w:tblBorders>
          <w:top w:val="single" w:color="AAB4BF" w:sz="4"/>
          <w:left w:val="single" w:color="AAB4BF" w:sz="4"/>
          <w:bottom w:val="single" w:color="AAB4BF" w:sz="4"/>
          <w:right w:val="single" w:color="AAB4BF" w:sz="4"/>
          <w:insideH w:val="single" w:color="D3D9E0" w:sz="2"/>
          <w:insideV w:val="single" w:color="D3D9E0" w:sz="2"/>
        </w:tblBorders>
      </w:tblPr>
      <w:tblGrid>
        <w:gridCol w:w="1900"/>
        <w:gridCol w:w="1750"/>
        <w:gridCol w:w="3300"/>
        <w:gridCol w:w="2950"/>
      </w:tblGrid>
      <w:tr>
        <w:trPr>
          <w:tblHeader/>
        </w:trPr>
        <w:tc>
          <w:tcPr>
            <w:tcW w:type="dxa" w:w="1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Actor</w:t>
            </w:r>
          </w:p>
        </w:tc>
        <w:tc>
          <w:tcPr>
            <w:tcW w:type="dxa" w:w="175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Alcance geográfico</w:t>
            </w:r>
          </w:p>
        </w:tc>
        <w:tc>
          <w:tcPr>
            <w:tcW w:type="dxa" w:w="3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Enfoque principal</w:t>
            </w:r>
          </w:p>
        </w:tc>
        <w:tc>
          <w:tcPr>
            <w:tcW w:type="dxa" w:w="295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Relevancia para KanchaYA</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Playtomic</w:t>
            </w:r>
          </w:p>
        </w:tc>
        <w:tc>
          <w:tcPr>
            <w:tcW w:type="dxa" w:w="175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Global (más de 30 países)</w:t>
            </w:r>
          </w:p>
        </w:tc>
        <w:tc>
          <w:tcPr>
            <w:tcW w:type="dxa" w:w="3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Reserva de pádel y tenis; software de gestión para clubes; comisión ~4 % por reserva (Forbes México, 2024)</w:t>
            </w:r>
          </w:p>
        </w:tc>
        <w:tc>
          <w:tcPr>
            <w:tcW w:type="dxa" w:w="295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Referente de modelo de negocio validado a escala; no opera activamente en el Cusco</w:t>
            </w:r>
          </w:p>
        </w:tc>
      </w:tr>
      <w:tr>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FairPlay</w:t>
            </w:r>
          </w:p>
        </w:tc>
        <w:tc>
          <w:tcPr>
            <w:tcW w:type="dxa" w:w="175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Perú (principalmente Lima)</w:t>
            </w:r>
          </w:p>
        </w:tc>
        <w:tc>
          <w:tcPr>
            <w:tcW w:type="dxa" w:w="3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Reserva de canchas de fútbol vía app móvil, pagos con Yape/Plin/tarjeta (El Comercio, 2022)</w:t>
            </w:r>
          </w:p>
        </w:tc>
        <w:tc>
          <w:tcPr>
            <w:tcW w:type="dxa" w:w="295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Competidor nacional directo; valida la demanda peruana pero sin presencia consolidada en Cusco</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Otras apps locales de reserva</w:t>
            </w:r>
          </w:p>
        </w:tc>
        <w:tc>
          <w:tcPr>
            <w:tcW w:type="dxa" w:w="175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Diversas ciudades del Perú</w:t>
            </w:r>
          </w:p>
        </w:tc>
        <w:tc>
          <w:tcPr>
            <w:tcW w:type="dxa" w:w="3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Aplicativos de alcance regional o distrital para reserva de canchas de fútbol</w:t>
            </w:r>
          </w:p>
        </w:tc>
        <w:tc>
          <w:tcPr>
            <w:tcW w:type="dxa" w:w="295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Competencia potencial de nicho; oportunidad de diferenciación vía módulo de campeonatos</w:t>
            </w:r>
          </w:p>
        </w:tc>
      </w:tr>
      <w:tr>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Métodos informales (WhatsApp, llamadas)</w:t>
            </w:r>
          </w:p>
        </w:tc>
        <w:tc>
          <w:tcPr>
            <w:tcW w:type="dxa" w:w="175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Todo el mercado cusqueño</w:t>
            </w:r>
          </w:p>
        </w:tc>
        <w:tc>
          <w:tcPr>
            <w:tcW w:type="dxa" w:w="3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Coordinación manual entre deportista y administrador del centro</w:t>
            </w:r>
          </w:p>
        </w:tc>
        <w:tc>
          <w:tcPr>
            <w:tcW w:type="dxa" w:w="295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Principal "competidor" real hoy: el statu quo que la plataforma busca reemplazar</w:t>
            </w:r>
          </w:p>
        </w:tc>
      </w:tr>
    </w:tbl>
    <w:p>
      <w:pPr>
        <w:spacing w:after="160" w:line="264" w:lineRule="auto"/>
        <w:ind w:firstLine="720"/>
        <w:jc w:val="left"/>
      </w:pPr>
      <w:r>
        <w:rPr>
          <w:rFonts w:ascii="Times New Roman" w:cs="Times New Roman" w:eastAsia="Times New Roman" w:hAnsi="Times New Roman"/>
          <w:sz w:val="22"/>
          <w:szCs w:val="22"/>
        </w:rPr>
        <w:t xml:space="preserve">La ausencia de un competidor con foco dedicado en el Cusco constituye la principal ventana de oportunidad estratégica de este plan: KanchaYA puede construir densidad de oferta y lealtad de demanda en un mercado geográfico acotado antes de que actores con mayor músculo financiero, como Playtomic o FairPlay, prioricen la expansión hacia ciudades del sur peruano.</w:t>
      </w:r>
    </w:p>
    <w:p>
      <w:pPr>
        <w:pStyle w:val="Heading2"/>
        <w:spacing w:after="160" w:before="300"/>
        <w:jc w:val="left"/>
      </w:pPr>
      <w:r>
        <w:rPr>
          <w:rFonts w:ascii="Times New Roman" w:cs="Times New Roman" w:eastAsia="Times New Roman" w:hAnsi="Times New Roman"/>
          <w:b/>
          <w:bCs/>
          <w:color w:val="12314F"/>
          <w:sz w:val="25"/>
          <w:szCs w:val="25"/>
        </w:rPr>
        <w:t xml:space="preserve">4.5 Análisis FODA</w:t>
      </w:r>
    </w:p>
    <w:p>
      <w:pPr>
        <w:spacing w:after="100"/>
        <w:jc w:val="left"/>
      </w:pPr>
      <w:r>
        <w:rPr>
          <w:rFonts w:ascii="Times New Roman" w:cs="Times New Roman" w:eastAsia="Times New Roman" w:hAnsi="Times New Roman"/>
          <w:i/>
          <w:iCs/>
          <w:sz w:val="20"/>
          <w:szCs w:val="20"/>
        </w:rPr>
        <w:t xml:space="preserve">Tabla 3. Análisis FODA (fortalezas, oportunidades, debilidades y amenazas)</w:t>
      </w:r>
    </w:p>
    <w:tbl>
      <w:tblPr>
        <w:tblW w:type="dxa" w:w="9000"/>
        <w:tblBorders>
          <w:top w:val="single" w:color="AAB4BF" w:sz="4"/>
          <w:left w:val="single" w:color="AAB4BF" w:sz="4"/>
          <w:bottom w:val="single" w:color="AAB4BF" w:sz="4"/>
          <w:right w:val="single" w:color="AAB4BF" w:sz="4"/>
          <w:insideH w:val="single" w:color="D3D9E0" w:sz="2"/>
          <w:insideV w:val="single" w:color="D3D9E0" w:sz="2"/>
        </w:tblBorders>
      </w:tblPr>
      <w:tblGrid>
        <w:gridCol w:w="4500"/>
        <w:gridCol w:w="4500"/>
      </w:tblGrid>
      <w:tr>
        <w:trPr>
          <w:tblHeader/>
        </w:trPr>
        <w:tc>
          <w:tcPr>
            <w:tcW w:type="dxa" w:w="45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Fortalezas</w:t>
            </w:r>
          </w:p>
        </w:tc>
        <w:tc>
          <w:tcPr>
            <w:tcW w:type="dxa" w:w="45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Oportunidades</w:t>
            </w:r>
          </w:p>
        </w:tc>
      </w:tr>
      <w:tr>
        <w:tc>
          <w:tcPr>
            <w:tcW w:type="dxa" w:w="4500"/>
            <w:tcMar>
              <w:top w:type="dxa" w:w="90"/>
              <w:left w:type="dxa" w:w="110"/>
              <w:bottom w:type="dxa" w:w="90"/>
              <w:right w:type="dxa" w:w="110"/>
            </w:tcMar>
            <w:vAlign w:val="center"/>
          </w:tcPr>
          <w:p>
            <w:pPr>
              <w:spacing w:after="80"/>
              <w:ind w:left="160" w:hanging="160"/>
              <w:jc w:val="left"/>
            </w:pPr>
            <w:r>
              <w:rPr>
                <w:rFonts w:ascii="Times New Roman" w:cs="Times New Roman" w:eastAsia="Times New Roman" w:hAnsi="Times New Roman"/>
                <w:color w:val="1A1A1A"/>
                <w:sz w:val="19"/>
                <w:szCs w:val="19"/>
              </w:rPr>
              <w:t xml:space="preserve">• Enfoque geográfico dedicado al Cusco, sin competidor directo consolidado</w:t>
            </w:r>
          </w:p>
          <w:p>
            <w:pPr>
              <w:spacing w:after="80"/>
              <w:ind w:left="160" w:hanging="160"/>
              <w:jc w:val="left"/>
            </w:pPr>
            <w:r>
              <w:rPr>
                <w:rFonts w:ascii="Times New Roman" w:cs="Times New Roman" w:eastAsia="Times New Roman" w:hAnsi="Times New Roman"/>
                <w:color w:val="1A1A1A"/>
                <w:sz w:val="19"/>
                <w:szCs w:val="19"/>
              </w:rPr>
              <w:t xml:space="preserve">• Modelo de negocio validado internacionalmente (Playtomic)</w:t>
            </w:r>
          </w:p>
          <w:p>
            <w:pPr>
              <w:spacing w:after="80"/>
              <w:ind w:left="160" w:hanging="160"/>
              <w:jc w:val="left"/>
            </w:pPr>
            <w:r>
              <w:rPr>
                <w:rFonts w:ascii="Times New Roman" w:cs="Times New Roman" w:eastAsia="Times New Roman" w:hAnsi="Times New Roman"/>
                <w:color w:val="1A1A1A"/>
                <w:sz w:val="19"/>
                <w:szCs w:val="19"/>
              </w:rPr>
              <w:t xml:space="preserve">• Doble propuesta de valor: reservas + campeonatos, poco replicada en el mercado peruano</w:t>
            </w:r>
          </w:p>
          <w:p>
            <w:pPr>
              <w:spacing w:after="0"/>
              <w:ind w:left="160" w:hanging="160"/>
              <w:jc w:val="left"/>
            </w:pPr>
            <w:r>
              <w:rPr>
                <w:rFonts w:ascii="Times New Roman" w:cs="Times New Roman" w:eastAsia="Times New Roman" w:hAnsi="Times New Roman"/>
                <w:color w:val="1A1A1A"/>
                <w:sz w:val="19"/>
                <w:szCs w:val="19"/>
              </w:rPr>
              <w:t xml:space="preserve">• Equipo con conocimiento del contexto tecnológico y regulatorio peruano</w:t>
            </w:r>
          </w:p>
        </w:tc>
        <w:tc>
          <w:tcPr>
            <w:tcW w:type="dxa" w:w="4500"/>
            <w:tcMar>
              <w:top w:type="dxa" w:w="90"/>
              <w:left w:type="dxa" w:w="110"/>
              <w:bottom w:type="dxa" w:w="90"/>
              <w:right w:type="dxa" w:w="110"/>
            </w:tcMar>
            <w:vAlign w:val="center"/>
          </w:tcPr>
          <w:p>
            <w:pPr>
              <w:spacing w:after="80"/>
              <w:ind w:left="160" w:hanging="160"/>
              <w:jc w:val="left"/>
            </w:pPr>
            <w:r>
              <w:rPr>
                <w:rFonts w:ascii="Times New Roman" w:cs="Times New Roman" w:eastAsia="Times New Roman" w:hAnsi="Times New Roman"/>
                <w:color w:val="1A1A1A"/>
                <w:sz w:val="19"/>
                <w:szCs w:val="19"/>
              </w:rPr>
              <w:t xml:space="preserve">• Alta penetración de billeteras digitales (Yape, Plin) entre el público objetivo</w:t>
            </w:r>
          </w:p>
          <w:p>
            <w:pPr>
              <w:spacing w:after="80"/>
              <w:ind w:left="160" w:hanging="160"/>
              <w:jc w:val="left"/>
            </w:pPr>
            <w:r>
              <w:rPr>
                <w:rFonts w:ascii="Times New Roman" w:cs="Times New Roman" w:eastAsia="Times New Roman" w:hAnsi="Times New Roman"/>
                <w:color w:val="1A1A1A"/>
                <w:sz w:val="19"/>
                <w:szCs w:val="19"/>
              </w:rPr>
              <w:t xml:space="preserve">• Ecosistema de capital emprendedor peruano en fase de consolidación</w:t>
            </w:r>
          </w:p>
          <w:p>
            <w:pPr>
              <w:spacing w:after="80"/>
              <w:ind w:left="160" w:hanging="160"/>
              <w:jc w:val="left"/>
            </w:pPr>
            <w:r>
              <w:rPr>
                <w:rFonts w:ascii="Times New Roman" w:cs="Times New Roman" w:eastAsia="Times New Roman" w:hAnsi="Times New Roman"/>
                <w:color w:val="1A1A1A"/>
                <w:sz w:val="19"/>
                <w:szCs w:val="19"/>
              </w:rPr>
              <w:t xml:space="preserve">• Posibilidad de alianzas con la municipalidad y federaciones deportivas locales</w:t>
            </w:r>
          </w:p>
          <w:p>
            <w:pPr>
              <w:spacing w:after="0"/>
              <w:ind w:left="160" w:hanging="160"/>
              <w:jc w:val="left"/>
            </w:pPr>
            <w:r>
              <w:rPr>
                <w:rFonts w:ascii="Times New Roman" w:cs="Times New Roman" w:eastAsia="Times New Roman" w:hAnsi="Times New Roman"/>
                <w:color w:val="1A1A1A"/>
                <w:sz w:val="19"/>
                <w:szCs w:val="19"/>
              </w:rPr>
              <w:t xml:space="preserve">• Demanda turística complementaria no explotada</w:t>
            </w:r>
          </w:p>
        </w:tc>
      </w:tr>
    </w:tbl>
    <w:p>
      <w:pPr>
        <w:spacing w:after="80"/>
      </w:pPr>
    </w:p>
    <w:tbl>
      <w:tblPr>
        <w:tblW w:type="dxa" w:w="9000"/>
        <w:tblBorders>
          <w:top w:val="single" w:color="AAB4BF" w:sz="4"/>
          <w:left w:val="single" w:color="AAB4BF" w:sz="4"/>
          <w:bottom w:val="single" w:color="AAB4BF" w:sz="4"/>
          <w:right w:val="single" w:color="AAB4BF" w:sz="4"/>
          <w:insideH w:val="single" w:color="D3D9E0" w:sz="2"/>
          <w:insideV w:val="single" w:color="D3D9E0" w:sz="2"/>
        </w:tblBorders>
      </w:tblPr>
      <w:tblGrid>
        <w:gridCol w:w="4500"/>
        <w:gridCol w:w="4500"/>
      </w:tblGrid>
      <w:tr>
        <w:trPr>
          <w:tblHeader/>
        </w:trPr>
        <w:tc>
          <w:tcPr>
            <w:tcW w:type="dxa" w:w="45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Debilidades</w:t>
            </w:r>
          </w:p>
        </w:tc>
        <w:tc>
          <w:tcPr>
            <w:tcW w:type="dxa" w:w="45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Amenazas</w:t>
            </w:r>
          </w:p>
        </w:tc>
      </w:tr>
      <w:tr>
        <w:tc>
          <w:tcPr>
            <w:tcW w:type="dxa" w:w="4500"/>
            <w:tcMar>
              <w:top w:type="dxa" w:w="90"/>
              <w:left w:type="dxa" w:w="110"/>
              <w:bottom w:type="dxa" w:w="90"/>
              <w:right w:type="dxa" w:w="110"/>
            </w:tcMar>
            <w:vAlign w:val="center"/>
          </w:tcPr>
          <w:p>
            <w:pPr>
              <w:spacing w:after="80"/>
              <w:ind w:left="160" w:hanging="160"/>
              <w:jc w:val="left"/>
            </w:pPr>
            <w:r>
              <w:rPr>
                <w:rFonts w:ascii="Times New Roman" w:cs="Times New Roman" w:eastAsia="Times New Roman" w:hAnsi="Times New Roman"/>
                <w:color w:val="1A1A1A"/>
                <w:sz w:val="19"/>
                <w:szCs w:val="19"/>
              </w:rPr>
              <w:t xml:space="preserve">• Marca nueva, sin reconocimiento previo en el mercado</w:t>
            </w:r>
          </w:p>
          <w:p>
            <w:pPr>
              <w:spacing w:after="80"/>
              <w:ind w:left="160" w:hanging="160"/>
              <w:jc w:val="left"/>
            </w:pPr>
            <w:r>
              <w:rPr>
                <w:rFonts w:ascii="Times New Roman" w:cs="Times New Roman" w:eastAsia="Times New Roman" w:hAnsi="Times New Roman"/>
                <w:color w:val="1A1A1A"/>
                <w:sz w:val="19"/>
                <w:szCs w:val="19"/>
              </w:rPr>
              <w:t xml:space="preserve">• Dependencia inicial de un equipo reducido y de capital externo</w:t>
            </w:r>
          </w:p>
          <w:p>
            <w:pPr>
              <w:spacing w:after="80"/>
              <w:ind w:left="160" w:hanging="160"/>
              <w:jc w:val="left"/>
            </w:pPr>
            <w:r>
              <w:rPr>
                <w:rFonts w:ascii="Times New Roman" w:cs="Times New Roman" w:eastAsia="Times New Roman" w:hAnsi="Times New Roman"/>
                <w:color w:val="1A1A1A"/>
                <w:sz w:val="19"/>
                <w:szCs w:val="19"/>
              </w:rPr>
              <w:t xml:space="preserve">• Necesidad de convencer a centros deportivos informales de digitalizar sus procesos</w:t>
            </w:r>
          </w:p>
          <w:p>
            <w:pPr>
              <w:spacing w:after="0"/>
              <w:ind w:left="160" w:hanging="160"/>
              <w:jc w:val="left"/>
            </w:pPr>
            <w:r>
              <w:rPr>
                <w:rFonts w:ascii="Times New Roman" w:cs="Times New Roman" w:eastAsia="Times New Roman" w:hAnsi="Times New Roman"/>
                <w:color w:val="1A1A1A"/>
                <w:sz w:val="19"/>
                <w:szCs w:val="19"/>
              </w:rPr>
              <w:t xml:space="preserve">• Recursos limitados frente a competidores con mayor respaldo financiero</w:t>
            </w:r>
          </w:p>
        </w:tc>
        <w:tc>
          <w:tcPr>
            <w:tcW w:type="dxa" w:w="4500"/>
            <w:tcMar>
              <w:top w:type="dxa" w:w="90"/>
              <w:left w:type="dxa" w:w="110"/>
              <w:bottom w:type="dxa" w:w="90"/>
              <w:right w:type="dxa" w:w="110"/>
            </w:tcMar>
            <w:vAlign w:val="center"/>
          </w:tcPr>
          <w:p>
            <w:pPr>
              <w:spacing w:after="80"/>
              <w:ind w:left="160" w:hanging="160"/>
              <w:jc w:val="left"/>
            </w:pPr>
            <w:r>
              <w:rPr>
                <w:rFonts w:ascii="Times New Roman" w:cs="Times New Roman" w:eastAsia="Times New Roman" w:hAnsi="Times New Roman"/>
                <w:color w:val="1A1A1A"/>
                <w:sz w:val="19"/>
                <w:szCs w:val="19"/>
              </w:rPr>
              <w:t xml:space="preserve">• Entrada de un competidor nacional o regional con más capital al mercado cusqueño</w:t>
            </w:r>
          </w:p>
          <w:p>
            <w:pPr>
              <w:spacing w:after="80"/>
              <w:ind w:left="160" w:hanging="160"/>
              <w:jc w:val="left"/>
            </w:pPr>
            <w:r>
              <w:rPr>
                <w:rFonts w:ascii="Times New Roman" w:cs="Times New Roman" w:eastAsia="Times New Roman" w:hAnsi="Times New Roman"/>
                <w:color w:val="1A1A1A"/>
                <w:sz w:val="19"/>
                <w:szCs w:val="19"/>
              </w:rPr>
              <w:t xml:space="preserve">• Estacionalidad (temporada de lluvias) que reduce la demanda de canchas al aire libre</w:t>
            </w:r>
          </w:p>
          <w:p>
            <w:pPr>
              <w:spacing w:after="80"/>
              <w:ind w:left="160" w:hanging="160"/>
              <w:jc w:val="left"/>
            </w:pPr>
            <w:r>
              <w:rPr>
                <w:rFonts w:ascii="Times New Roman" w:cs="Times New Roman" w:eastAsia="Times New Roman" w:hAnsi="Times New Roman"/>
                <w:color w:val="1A1A1A"/>
                <w:sz w:val="19"/>
                <w:szCs w:val="19"/>
              </w:rPr>
              <w:t xml:space="preserve">• Cambios regulatorios en materia de protección de datos o comercio electrónico</w:t>
            </w:r>
          </w:p>
          <w:p>
            <w:pPr>
              <w:spacing w:after="0"/>
              <w:ind w:left="160" w:hanging="160"/>
              <w:jc w:val="left"/>
            </w:pPr>
            <w:r>
              <w:rPr>
                <w:rFonts w:ascii="Times New Roman" w:cs="Times New Roman" w:eastAsia="Times New Roman" w:hAnsi="Times New Roman"/>
                <w:color w:val="1A1A1A"/>
                <w:sz w:val="19"/>
                <w:szCs w:val="19"/>
              </w:rPr>
              <w:t xml:space="preserve">• Ciclos económicos que afecten el gasto discrecional en ocio y deporte</w:t>
            </w:r>
          </w:p>
        </w:tc>
      </w:tr>
    </w:tbl>
    <w:p>
      <w:pPr>
        <w:pStyle w:val="Heading2"/>
        <w:spacing w:after="160" w:before="300"/>
        <w:jc w:val="left"/>
      </w:pPr>
      <w:r>
        <w:rPr>
          <w:rFonts w:ascii="Times New Roman" w:cs="Times New Roman" w:eastAsia="Times New Roman" w:hAnsi="Times New Roman"/>
          <w:b/>
          <w:bCs/>
          <w:color w:val="12314F"/>
          <w:sz w:val="25"/>
          <w:szCs w:val="25"/>
        </w:rPr>
        <w:t xml:space="preserve">4.6 Análisis PESTEL</w:t>
      </w:r>
    </w:p>
    <w:p>
      <w:pPr>
        <w:spacing w:after="100"/>
        <w:jc w:val="left"/>
      </w:pPr>
      <w:r>
        <w:rPr>
          <w:rFonts w:ascii="Times New Roman" w:cs="Times New Roman" w:eastAsia="Times New Roman" w:hAnsi="Times New Roman"/>
          <w:i/>
          <w:iCs/>
          <w:sz w:val="20"/>
          <w:szCs w:val="20"/>
        </w:rPr>
        <w:t xml:space="preserve">Tabla 4. Análisis PESTEL del entorno del negocio</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1900"/>
        <w:gridCol w:w="7600"/>
      </w:tblGrid>
      <w:tr>
        <w:trPr>
          <w:tblHeader/>
        </w:trPr>
        <w:tc>
          <w:tcPr>
            <w:tcW w:type="dxa" w:w="1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Factor</w:t>
            </w:r>
          </w:p>
        </w:tc>
        <w:tc>
          <w:tcPr>
            <w:tcW w:type="dxa" w:w="76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Descripción para el contexto del proyecto</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Político</w:t>
            </w:r>
          </w:p>
        </w:tc>
        <w:tc>
          <w:tcPr>
            <w:tcW w:type="dxa" w:w="7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Estabilidad relativa de las políticas de promoción del emprendimiento tecnológico (Startup Perú, ProInnóvate); posibilidad de alianzas con gobiernos locales para el fomento del deporte.</w:t>
            </w:r>
          </w:p>
        </w:tc>
      </w:tr>
      <w:tr>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Económico</w:t>
            </w:r>
          </w:p>
        </w:tc>
        <w:tc>
          <w:tcPr>
            <w:tcW w:type="dxa" w:w="7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Economía cusqueña dinamizada por servicios y turismo; ecosistema de capital de riesgo peruano en expansión, aunque con una brecha de financiamiento proyectada de USD 516 millones entre 2026 y 2030 (Gestión, 2026).</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Social</w:t>
            </w:r>
          </w:p>
        </w:tc>
        <w:tc>
          <w:tcPr>
            <w:tcW w:type="dxa" w:w="7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Fuerte cultura futbolística y de deporte recreativo grupal ("pichangas"); creciente preferencia por la conveniencia digital entre la población joven urbana.</w:t>
            </w:r>
          </w:p>
        </w:tc>
      </w:tr>
      <w:tr>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Tecnológico</w:t>
            </w:r>
          </w:p>
        </w:tc>
        <w:tc>
          <w:tcPr>
            <w:tcW w:type="dxa" w:w="7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Alta penetración de smartphones y billeteras digitales; disponibilidad de pasarelas de pago locales (Culqi, Niubiz) con comisiones competitivas para negocios digitales (Riqra, 2026).</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Ecológico</w:t>
            </w:r>
          </w:p>
        </w:tc>
        <w:tc>
          <w:tcPr>
            <w:tcW w:type="dxa" w:w="7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Estacionalidad climática (temporada de lluvias de diciembre a marzo) que afecta la disponibilidad de canchas al aire libre y debe considerarse en la planificación de la demanda.</w:t>
            </w:r>
          </w:p>
        </w:tc>
      </w:tr>
      <w:tr>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Legal</w:t>
            </w:r>
          </w:p>
        </w:tc>
        <w:tc>
          <w:tcPr>
            <w:tcW w:type="dxa" w:w="7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Marco vigente de protección de datos personales (Ley N.º 29733), regulación de comercio electrónico y normativa tributaria aplicable a plataformas digitales, desarrollados en la sección 13 de este documento.</w:t>
            </w:r>
          </w:p>
        </w:tc>
      </w:tr>
    </w:tbl>
    <w:p>
      <w:pPr>
        <w:pStyle w:val="Heading1"/>
        <w:pageBreakBefore/>
        <w:spacing w:after="220" w:before="340"/>
        <w:jc w:val="center"/>
      </w:pPr>
      <w:r>
        <w:rPr>
          <w:rFonts w:ascii="Times New Roman" w:cs="Times New Roman" w:eastAsia="Times New Roman" w:hAnsi="Times New Roman"/>
          <w:b/>
          <w:bCs/>
          <w:color w:val="12314F"/>
          <w:sz w:val="27"/>
          <w:szCs w:val="27"/>
        </w:rPr>
        <w:t xml:space="preserve">5. Descripción del Producto o Servicio</w:t>
      </w:r>
    </w:p>
    <w:p>
      <w:pPr>
        <w:pStyle w:val="Heading2"/>
        <w:spacing w:after="160" w:before="300"/>
        <w:jc w:val="left"/>
      </w:pPr>
      <w:r>
        <w:rPr>
          <w:rFonts w:ascii="Times New Roman" w:cs="Times New Roman" w:eastAsia="Times New Roman" w:hAnsi="Times New Roman"/>
          <w:b/>
          <w:bCs/>
          <w:color w:val="12314F"/>
          <w:sz w:val="25"/>
          <w:szCs w:val="25"/>
        </w:rPr>
        <w:t xml:space="preserve">5.1 Concepto General de la Plataforma</w:t>
      </w:r>
    </w:p>
    <w:p>
      <w:pPr>
        <w:spacing w:after="160" w:line="264" w:lineRule="auto"/>
        <w:ind w:firstLine="720"/>
        <w:jc w:val="left"/>
      </w:pPr>
      <w:r>
        <w:rPr>
          <w:rFonts w:ascii="Times New Roman" w:cs="Times New Roman" w:eastAsia="Times New Roman" w:hAnsi="Times New Roman"/>
          <w:sz w:val="22"/>
          <w:szCs w:val="22"/>
        </w:rPr>
        <w:t xml:space="preserve">KanchaYA se compone de tres experiencias interconectadas que comparten una misma base de datos y un mismo sistema de pagos: una aplicación móvil y sitio web para deportistas, un panel de administración para centros deportivos, y un panel de organización de campeonatos para instituciones. Las tres experiencias se describen en detalle en esta sección; su implementación técnica se aborda en la sección 7 (arquitectura tecnológica).</w:t>
      </w:r>
    </w:p>
    <w:p>
      <w:pPr>
        <w:pStyle w:val="Heading2"/>
        <w:spacing w:after="160" w:before="300"/>
        <w:jc w:val="left"/>
      </w:pPr>
      <w:r>
        <w:rPr>
          <w:rFonts w:ascii="Times New Roman" w:cs="Times New Roman" w:eastAsia="Times New Roman" w:hAnsi="Times New Roman"/>
          <w:b/>
          <w:bCs/>
          <w:color w:val="12314F"/>
          <w:sz w:val="25"/>
          <w:szCs w:val="25"/>
        </w:rPr>
        <w:t xml:space="preserve">5.2 Módulo de Reservas de Canchas (Modelo tipo Airbnb)</w:t>
      </w:r>
    </w:p>
    <w:p>
      <w:pPr>
        <w:spacing w:after="160" w:line="264" w:lineRule="auto"/>
        <w:ind w:firstLine="720"/>
        <w:jc w:val="left"/>
      </w:pPr>
      <w:r>
        <w:rPr>
          <w:rFonts w:ascii="Times New Roman" w:cs="Times New Roman" w:eastAsia="Times New Roman" w:hAnsi="Times New Roman"/>
          <w:sz w:val="22"/>
          <w:szCs w:val="22"/>
        </w:rPr>
        <w:t xml:space="preserve">Este módulo es el núcleo transaccional de la plataforma y replica, de forma deliberada, la lógica de doble mercado que popularizó Airbnb en la industria del hospedaje: cualquier centro deportivo puede publicar sus canchas como si fueran "anuncios", definiendo sus propios precios, horarios de disponibilidad y reglas de cancelación.</w:t>
      </w:r>
    </w:p>
    <w:p>
      <w:pPr>
        <w:pStyle w:val="Heading3"/>
        <w:spacing w:after="140" w:before="220"/>
        <w:jc w:val="left"/>
      </w:pPr>
      <w:r>
        <w:rPr>
          <w:rFonts w:ascii="Times New Roman" w:cs="Times New Roman" w:eastAsia="Times New Roman" w:hAnsi="Times New Roman"/>
          <w:b/>
          <w:bCs/>
          <w:i/>
          <w:iCs/>
          <w:color w:val="1F4E79"/>
          <w:sz w:val="23"/>
          <w:szCs w:val="23"/>
        </w:rPr>
        <w:t xml:space="preserve">5.2.1 Flujo para el Centro Deportivo (Oferta)</w:t>
      </w:r>
    </w:p>
    <w:p>
      <w:pPr>
        <w:pStyle w:val="ListParagraph"/>
        <w:numPr>
          <w:ilvl w:val="0"/>
          <w:numId w:val="4"/>
        </w:numPr>
        <w:spacing w:after="90" w:line="252" w:lineRule="auto"/>
        <w:jc w:val="left"/>
      </w:pPr>
      <w:r>
        <w:rPr>
          <w:rFonts w:ascii="Times New Roman" w:cs="Times New Roman" w:eastAsia="Times New Roman" w:hAnsi="Times New Roman"/>
          <w:sz w:val="22"/>
          <w:szCs w:val="22"/>
        </w:rPr>
        <w:t xml:space="preserve">Registro del centro deportivo y verificación básica de identidad y ubicación.</w:t>
      </w:r>
    </w:p>
    <w:p>
      <w:pPr>
        <w:pStyle w:val="ListParagraph"/>
        <w:numPr>
          <w:ilvl w:val="0"/>
          <w:numId w:val="4"/>
        </w:numPr>
        <w:spacing w:after="90" w:line="252" w:lineRule="auto"/>
        <w:jc w:val="left"/>
      </w:pPr>
      <w:r>
        <w:rPr>
          <w:rFonts w:ascii="Times New Roman" w:cs="Times New Roman" w:eastAsia="Times New Roman" w:hAnsi="Times New Roman"/>
          <w:sz w:val="22"/>
          <w:szCs w:val="22"/>
        </w:rPr>
        <w:t xml:space="preserve">Publicación de cada cancha como una "unidad" independiente: fotografías, deporte(s) habilitado(s), dimensiones, superficie, servicios adicionales (iluminación, vestidores, estacionamiento).</w:t>
      </w:r>
    </w:p>
    <w:p>
      <w:pPr>
        <w:pStyle w:val="ListParagraph"/>
        <w:numPr>
          <w:ilvl w:val="0"/>
          <w:numId w:val="4"/>
        </w:numPr>
        <w:spacing w:after="90" w:line="252" w:lineRule="auto"/>
        <w:jc w:val="left"/>
      </w:pPr>
      <w:r>
        <w:rPr>
          <w:rFonts w:ascii="Times New Roman" w:cs="Times New Roman" w:eastAsia="Times New Roman" w:hAnsi="Times New Roman"/>
          <w:sz w:val="22"/>
          <w:szCs w:val="22"/>
        </w:rPr>
        <w:t xml:space="preserve">Configuración de precios por franja horaria (por ejemplo, tarifas diferenciadas para horario diurno y nocturno o fin de semana) y de reglas de cancelación y reembolso.</w:t>
      </w:r>
    </w:p>
    <w:p>
      <w:pPr>
        <w:pStyle w:val="ListParagraph"/>
        <w:numPr>
          <w:ilvl w:val="0"/>
          <w:numId w:val="4"/>
        </w:numPr>
        <w:spacing w:after="90" w:line="252" w:lineRule="auto"/>
        <w:jc w:val="left"/>
      </w:pPr>
      <w:r>
        <w:rPr>
          <w:rFonts w:ascii="Times New Roman" w:cs="Times New Roman" w:eastAsia="Times New Roman" w:hAnsi="Times New Roman"/>
          <w:sz w:val="22"/>
          <w:szCs w:val="22"/>
        </w:rPr>
        <w:t xml:space="preserve">Recepción de reservas y pagos directamente en el panel, con liquidación periódica de los fondos descontada la comisión de la plataforma.</w:t>
      </w:r>
    </w:p>
    <w:p>
      <w:pPr>
        <w:pStyle w:val="ListParagraph"/>
        <w:numPr>
          <w:ilvl w:val="0"/>
          <w:numId w:val="4"/>
        </w:numPr>
        <w:spacing w:after="90" w:line="252" w:lineRule="auto"/>
        <w:jc w:val="left"/>
      </w:pPr>
      <w:r>
        <w:rPr>
          <w:rFonts w:ascii="Times New Roman" w:cs="Times New Roman" w:eastAsia="Times New Roman" w:hAnsi="Times New Roman"/>
          <w:sz w:val="22"/>
          <w:szCs w:val="22"/>
        </w:rPr>
        <w:t xml:space="preserve">Acceso a reportes de ocupación, ingresos y calificaciones de los deportistas.</w:t>
      </w:r>
    </w:p>
    <w:p>
      <w:pPr>
        <w:pStyle w:val="Heading3"/>
        <w:spacing w:after="140" w:before="220"/>
        <w:jc w:val="left"/>
      </w:pPr>
      <w:r>
        <w:rPr>
          <w:rFonts w:ascii="Times New Roman" w:cs="Times New Roman" w:eastAsia="Times New Roman" w:hAnsi="Times New Roman"/>
          <w:b/>
          <w:bCs/>
          <w:i/>
          <w:iCs/>
          <w:color w:val="1F4E79"/>
          <w:sz w:val="23"/>
          <w:szCs w:val="23"/>
        </w:rPr>
        <w:t xml:space="preserve">5.2.2 Flujo para el Deportista (Demanda)</w:t>
      </w:r>
    </w:p>
    <w:p>
      <w:pPr>
        <w:pStyle w:val="ListParagraph"/>
        <w:numPr>
          <w:ilvl w:val="0"/>
          <w:numId w:val="5"/>
        </w:numPr>
        <w:spacing w:after="90" w:line="252" w:lineRule="auto"/>
        <w:jc w:val="left"/>
      </w:pPr>
      <w:r>
        <w:rPr>
          <w:rFonts w:ascii="Times New Roman" w:cs="Times New Roman" w:eastAsia="Times New Roman" w:hAnsi="Times New Roman"/>
          <w:sz w:val="22"/>
          <w:szCs w:val="22"/>
        </w:rPr>
        <w:t xml:space="preserve">Búsqueda de canchas por deporte, ubicación (distrito o proximidad geográfica), fecha, horario y rango de precio.</w:t>
      </w:r>
    </w:p>
    <w:p>
      <w:pPr>
        <w:pStyle w:val="ListParagraph"/>
        <w:numPr>
          <w:ilvl w:val="0"/>
          <w:numId w:val="5"/>
        </w:numPr>
        <w:spacing w:after="90" w:line="252" w:lineRule="auto"/>
        <w:jc w:val="left"/>
      </w:pPr>
      <w:r>
        <w:rPr>
          <w:rFonts w:ascii="Times New Roman" w:cs="Times New Roman" w:eastAsia="Times New Roman" w:hAnsi="Times New Roman"/>
          <w:sz w:val="22"/>
          <w:szCs w:val="22"/>
        </w:rPr>
        <w:t xml:space="preserve">Comparación de opciones disponibles, con fotografías, calificaciones de otros usuarios y precio final.</w:t>
      </w:r>
    </w:p>
    <w:p>
      <w:pPr>
        <w:pStyle w:val="ListParagraph"/>
        <w:numPr>
          <w:ilvl w:val="0"/>
          <w:numId w:val="5"/>
        </w:numPr>
        <w:spacing w:after="90" w:line="252" w:lineRule="auto"/>
        <w:jc w:val="left"/>
      </w:pPr>
      <w:r>
        <w:rPr>
          <w:rFonts w:ascii="Times New Roman" w:cs="Times New Roman" w:eastAsia="Times New Roman" w:hAnsi="Times New Roman"/>
          <w:sz w:val="22"/>
          <w:szCs w:val="22"/>
        </w:rPr>
        <w:t xml:space="preserve">Reserva y pago en línea (tarjeta, Yape, Plin o billetera de la plataforma), con confirmación inmediata.</w:t>
      </w:r>
    </w:p>
    <w:p>
      <w:pPr>
        <w:pStyle w:val="ListParagraph"/>
        <w:numPr>
          <w:ilvl w:val="0"/>
          <w:numId w:val="5"/>
        </w:numPr>
        <w:spacing w:after="90" w:line="252" w:lineRule="auto"/>
        <w:jc w:val="left"/>
      </w:pPr>
      <w:r>
        <w:rPr>
          <w:rFonts w:ascii="Times New Roman" w:cs="Times New Roman" w:eastAsia="Times New Roman" w:hAnsi="Times New Roman"/>
          <w:sz w:val="22"/>
          <w:szCs w:val="22"/>
        </w:rPr>
        <w:t xml:space="preserve">Opción de invitar a otros jugadores y dividir el costo de la reserva entre los participantes.</w:t>
      </w:r>
    </w:p>
    <w:p>
      <w:pPr>
        <w:pStyle w:val="ListParagraph"/>
        <w:numPr>
          <w:ilvl w:val="0"/>
          <w:numId w:val="5"/>
        </w:numPr>
        <w:spacing w:after="90" w:line="252" w:lineRule="auto"/>
        <w:jc w:val="left"/>
      </w:pPr>
      <w:r>
        <w:rPr>
          <w:rFonts w:ascii="Times New Roman" w:cs="Times New Roman" w:eastAsia="Times New Roman" w:hAnsi="Times New Roman"/>
          <w:sz w:val="22"/>
          <w:szCs w:val="22"/>
        </w:rPr>
        <w:t xml:space="preserve">Calificación del centro deportivo después de jugar, alimentando el sistema de reputación de la plataforma.</w:t>
      </w:r>
    </w:p>
    <w:p>
      <w:pPr>
        <w:pStyle w:val="Heading2"/>
        <w:spacing w:after="160" w:before="300"/>
        <w:jc w:val="left"/>
      </w:pPr>
      <w:r>
        <w:rPr>
          <w:rFonts w:ascii="Times New Roman" w:cs="Times New Roman" w:eastAsia="Times New Roman" w:hAnsi="Times New Roman"/>
          <w:b/>
          <w:bCs/>
          <w:color w:val="12314F"/>
          <w:sz w:val="25"/>
          <w:szCs w:val="25"/>
        </w:rPr>
        <w:t xml:space="preserve">5.3 Módulo de Organización de Campeonatos</w:t>
      </w:r>
    </w:p>
    <w:p>
      <w:pPr>
        <w:spacing w:after="160" w:line="264" w:lineRule="auto"/>
        <w:ind w:firstLine="720"/>
        <w:jc w:val="left"/>
      </w:pPr>
      <w:r>
        <w:rPr>
          <w:rFonts w:ascii="Times New Roman" w:cs="Times New Roman" w:eastAsia="Times New Roman" w:hAnsi="Times New Roman"/>
          <w:sz w:val="22"/>
          <w:szCs w:val="22"/>
        </w:rPr>
        <w:t xml:space="preserve">Este módulo diferencia a KanchaYA de los competidores puramente transaccionales y está diseñado tanto para instituciones privadas (empresas que organizan campeonatos internos, ligas barriales, universidades, colegios privados) como para instituciones públicas (municipalidades, colegios estatales, el Instituto Peruano del Deporte y sus equivalentes regionales).</w:t>
      </w:r>
    </w:p>
    <w:p>
      <w:pPr>
        <w:pStyle w:val="Heading3"/>
        <w:spacing w:after="140" w:before="220"/>
        <w:jc w:val="left"/>
      </w:pPr>
      <w:r>
        <w:rPr>
          <w:rFonts w:ascii="Times New Roman" w:cs="Times New Roman" w:eastAsia="Times New Roman" w:hAnsi="Times New Roman"/>
          <w:b/>
          <w:bCs/>
          <w:i/>
          <w:iCs/>
          <w:color w:val="1F4E79"/>
          <w:sz w:val="23"/>
          <w:szCs w:val="23"/>
        </w:rPr>
        <w:t xml:space="preserve">5.3.1 Funcionalidades Principales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Creación de campeonatos: </w:t>
      </w:r>
      <w:r>
        <w:rPr>
          <w:rFonts w:ascii="Times New Roman" w:cs="Times New Roman" w:eastAsia="Times New Roman" w:hAnsi="Times New Roman"/>
          <w:b w:val="false"/>
          <w:bCs w:val="false"/>
          <w:i w:val="false"/>
          <w:iCs w:val="false"/>
          <w:sz w:val="22"/>
          <w:szCs w:val="22"/>
        </w:rPr>
        <w:t xml:space="preserve">definición de deporte, formato (eliminación directa, todos contra todos, fase de grupos más eliminación), número de equipos y calendario.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Inscripción de equipos: </w:t>
      </w:r>
      <w:r>
        <w:rPr>
          <w:rFonts w:ascii="Times New Roman" w:cs="Times New Roman" w:eastAsia="Times New Roman" w:hAnsi="Times New Roman"/>
          <w:b w:val="false"/>
          <w:bCs w:val="false"/>
          <w:i w:val="false"/>
          <w:iCs w:val="false"/>
          <w:sz w:val="22"/>
          <w:szCs w:val="22"/>
        </w:rPr>
        <w:t xml:space="preserve">formularios de inscripción configurables, con cobro de inscripción integrado al sistema de pagos de la plataforma cuando corresponda.</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Generación automática de cuadros de competencia (brackets) </w:t>
      </w:r>
      <w:r>
        <w:rPr>
          <w:rFonts w:ascii="Times New Roman" w:cs="Times New Roman" w:eastAsia="Times New Roman" w:hAnsi="Times New Roman"/>
          <w:b w:val="false"/>
          <w:bCs w:val="false"/>
          <w:i w:val="false"/>
          <w:iCs w:val="false"/>
          <w:sz w:val="22"/>
          <w:szCs w:val="22"/>
        </w:rPr>
        <w:t xml:space="preserve">y calendarización de partidos, con reserva automática de las canchas requeridas dentro de la misma plataforma.</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Registro de resultados en tiempo real </w:t>
      </w:r>
      <w:r>
        <w:rPr>
          <w:rFonts w:ascii="Times New Roman" w:cs="Times New Roman" w:eastAsia="Times New Roman" w:hAnsi="Times New Roman"/>
          <w:b w:val="false"/>
          <w:bCs w:val="false"/>
          <w:i w:val="false"/>
          <w:iCs w:val="false"/>
          <w:sz w:val="22"/>
          <w:szCs w:val="22"/>
        </w:rPr>
        <w:t xml:space="preserve">por parte de árbitros o delegados designados, con actualización automática de tablas de posiciones.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Panel público del campeonato: </w:t>
      </w:r>
      <w:r>
        <w:rPr>
          <w:rFonts w:ascii="Times New Roman" w:cs="Times New Roman" w:eastAsia="Times New Roman" w:hAnsi="Times New Roman"/>
          <w:b w:val="false"/>
          <w:bCs w:val="false"/>
          <w:i w:val="false"/>
          <w:iCs w:val="false"/>
          <w:sz w:val="22"/>
          <w:szCs w:val="22"/>
        </w:rPr>
        <w:t xml:space="preserve">página compartible con el calendario, resultados y tabla de posiciones, visible para jugadores, familiares y aficionados.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Reportes administrativos: </w:t>
      </w:r>
      <w:r>
        <w:rPr>
          <w:rFonts w:ascii="Times New Roman" w:cs="Times New Roman" w:eastAsia="Times New Roman" w:hAnsi="Times New Roman"/>
          <w:b w:val="false"/>
          <w:bCs w:val="false"/>
          <w:i w:val="false"/>
          <w:iCs w:val="false"/>
          <w:sz w:val="22"/>
          <w:szCs w:val="22"/>
        </w:rPr>
        <w:t xml:space="preserve">control de pagos de inscripción, asistencia y estadísticas del torneo para la institución organizadora.</w:t>
      </w:r>
    </w:p>
    <w:p>
      <w:pPr>
        <w:pStyle w:val="Heading3"/>
        <w:spacing w:after="140" w:before="220"/>
        <w:jc w:val="left"/>
      </w:pPr>
      <w:r>
        <w:rPr>
          <w:rFonts w:ascii="Times New Roman" w:cs="Times New Roman" w:eastAsia="Times New Roman" w:hAnsi="Times New Roman"/>
          <w:b/>
          <w:bCs/>
          <w:i/>
          <w:iCs/>
          <w:color w:val="1F4E79"/>
          <w:sz w:val="23"/>
          <w:szCs w:val="23"/>
        </w:rPr>
        <w:t xml:space="preserve">5.3.2 Planes Diferenciados para Instituciones Públicas</w:t>
      </w:r>
    </w:p>
    <w:p>
      <w:pPr>
        <w:spacing w:after="160" w:line="264" w:lineRule="auto"/>
        <w:ind w:firstLine="720"/>
        <w:jc w:val="left"/>
      </w:pPr>
      <w:r>
        <w:rPr>
          <w:rFonts w:ascii="Times New Roman" w:cs="Times New Roman" w:eastAsia="Times New Roman" w:hAnsi="Times New Roman"/>
          <w:sz w:val="22"/>
          <w:szCs w:val="22"/>
        </w:rPr>
        <w:t xml:space="preserve">Reconociendo que las entidades públicas (municipalidades, colegios estatales) operan bajo restricciones presupuestarias y procedimientos de contratación distintos a los de una empresa privada, se contempla un esquema de tarifas preferenciales y convenios anuales para este segmento, detallado en la sección 8.3.</w:t>
      </w:r>
    </w:p>
    <w:p>
      <w:pPr>
        <w:pStyle w:val="Heading2"/>
        <w:spacing w:after="160" w:before="300"/>
        <w:jc w:val="left"/>
      </w:pPr>
      <w:r>
        <w:rPr>
          <w:rFonts w:ascii="Times New Roman" w:cs="Times New Roman" w:eastAsia="Times New Roman" w:hAnsi="Times New Roman"/>
          <w:b/>
          <w:bCs/>
          <w:color w:val="12314F"/>
          <w:sz w:val="25"/>
          <w:szCs w:val="25"/>
        </w:rPr>
        <w:t xml:space="preserve">5.4 Funcionalidades Complementarias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Sistema de reputación bidireccional: </w:t>
      </w:r>
      <w:r>
        <w:rPr>
          <w:rFonts w:ascii="Times New Roman" w:cs="Times New Roman" w:eastAsia="Times New Roman" w:hAnsi="Times New Roman"/>
          <w:b w:val="false"/>
          <w:bCs w:val="false"/>
          <w:i w:val="false"/>
          <w:iCs w:val="false"/>
          <w:sz w:val="22"/>
          <w:szCs w:val="22"/>
        </w:rPr>
        <w:t xml:space="preserve">tanto los deportistas como los centros deportivos pueden calificarse mutuamente, fomentando comportamiento responsable en ambos lados del mercado.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Notificaciones inteligentes: </w:t>
      </w:r>
      <w:r>
        <w:rPr>
          <w:rFonts w:ascii="Times New Roman" w:cs="Times New Roman" w:eastAsia="Times New Roman" w:hAnsi="Times New Roman"/>
          <w:b w:val="false"/>
          <w:bCs w:val="false"/>
          <w:i w:val="false"/>
          <w:iCs w:val="false"/>
          <w:sz w:val="22"/>
          <w:szCs w:val="22"/>
        </w:rPr>
        <w:t xml:space="preserve">recordatorios de reserva, avisos de cambios climáticos relevantes para canchas al aire libre y sugerencias personalizadas de horarios con descuento.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Programa de referidos: </w:t>
      </w:r>
      <w:r>
        <w:rPr>
          <w:rFonts w:ascii="Times New Roman" w:cs="Times New Roman" w:eastAsia="Times New Roman" w:hAnsi="Times New Roman"/>
          <w:b w:val="false"/>
          <w:bCs w:val="false"/>
          <w:i w:val="false"/>
          <w:iCs w:val="false"/>
          <w:sz w:val="22"/>
          <w:szCs w:val="22"/>
        </w:rPr>
        <w:t xml:space="preserve">incentivos para que los usuarios inviten a otros jugadores y para que los centros deportivos recomienden la plataforma a otros administradores.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Billetera interna (fase 2): </w:t>
      </w:r>
      <w:r>
        <w:rPr>
          <w:rFonts w:ascii="Times New Roman" w:cs="Times New Roman" w:eastAsia="Times New Roman" w:hAnsi="Times New Roman"/>
          <w:b w:val="false"/>
          <w:bCs w:val="false"/>
          <w:i w:val="false"/>
          <w:iCs w:val="false"/>
          <w:sz w:val="22"/>
          <w:szCs w:val="22"/>
        </w:rPr>
        <w:t xml:space="preserve">saldo prepagado dentro de la aplicación para agilizar reservas frecuentes y facilitar la división de pagos entre grupos de amigos.</w:t>
      </w:r>
    </w:p>
    <w:p>
      <w:pPr>
        <w:pStyle w:val="Heading2"/>
        <w:spacing w:after="160" w:before="300"/>
        <w:jc w:val="left"/>
      </w:pPr>
      <w:r>
        <w:rPr>
          <w:rFonts w:ascii="Times New Roman" w:cs="Times New Roman" w:eastAsia="Times New Roman" w:hAnsi="Times New Roman"/>
          <w:b/>
          <w:bCs/>
          <w:color w:val="12314F"/>
          <w:sz w:val="25"/>
          <w:szCs w:val="25"/>
        </w:rPr>
        <w:t xml:space="preserve">5.5 Experiencia de Usuario y Principios de Diseño</w:t>
      </w:r>
    </w:p>
    <w:p>
      <w:pPr>
        <w:spacing w:after="160" w:line="264" w:lineRule="auto"/>
        <w:ind w:firstLine="720"/>
        <w:jc w:val="left"/>
      </w:pPr>
      <w:r>
        <w:rPr>
          <w:rFonts w:ascii="Times New Roman" w:cs="Times New Roman" w:eastAsia="Times New Roman" w:hAnsi="Times New Roman"/>
          <w:sz w:val="22"/>
          <w:szCs w:val="22"/>
        </w:rPr>
        <w:t xml:space="preserve">El diseño de producto se rige por tres principios rectores: (a) velocidad, priorizando que una reserva pueda completarse en menos de dos minutos desde la apertura de la aplicación; (b) claridad, evitando pasos o campos innecesarios tanto para el deportista como para el administrador del centro deportivo, muchos de los cuales tendrán un nivel de alfabetización digital heterogéneo; y (c) confianza, mostrando de forma transparente el precio final, las políticas de cancelación y las calificaciones antes de confirmar cualquier transacción.</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6. Alcance del Proyecto</w:t>
      </w:r>
    </w:p>
    <w:p>
      <w:pPr>
        <w:spacing w:after="160" w:line="264" w:lineRule="auto"/>
        <w:ind w:firstLine="720"/>
        <w:jc w:val="left"/>
      </w:pPr>
      <w:r>
        <w:rPr>
          <w:rFonts w:ascii="Times New Roman" w:cs="Times New Roman" w:eastAsia="Times New Roman" w:hAnsi="Times New Roman"/>
          <w:sz w:val="22"/>
          <w:szCs w:val="22"/>
        </w:rPr>
        <w:t xml:space="preserve">El alcance de este plan se organiza en fases progresivas, permitiendo validar supuestos críticos de negocio antes de comprometer capital adicional en la expansión geográfica. Esta sección define qué incluye y qué excluye cada fase; el cronograma detallado con duraciones se presenta en la sección 16 (hoja de ruta de implementación).</w:t>
      </w:r>
    </w:p>
    <w:p>
      <w:pPr>
        <w:pStyle w:val="Heading2"/>
        <w:spacing w:after="160" w:before="300"/>
        <w:jc w:val="left"/>
      </w:pPr>
      <w:r>
        <w:rPr>
          <w:rFonts w:ascii="Times New Roman" w:cs="Times New Roman" w:eastAsia="Times New Roman" w:hAnsi="Times New Roman"/>
          <w:b/>
          <w:bCs/>
          <w:color w:val="12314F"/>
          <w:sz w:val="25"/>
          <w:szCs w:val="25"/>
        </w:rPr>
        <w:t xml:space="preserve">6.1 Fase 1 — Producto Mínimo Viable (MVP)</w:t>
      </w:r>
    </w:p>
    <w:p>
      <w:pPr>
        <w:spacing w:after="160" w:line="264" w:lineRule="auto"/>
        <w:ind w:firstLine="720"/>
        <w:jc w:val="left"/>
      </w:pPr>
      <w:r>
        <w:rPr>
          <w:rFonts w:ascii="Times New Roman" w:cs="Times New Roman" w:eastAsia="Times New Roman" w:hAnsi="Times New Roman"/>
          <w:sz w:val="22"/>
          <w:szCs w:val="22"/>
        </w:rPr>
        <w:t xml:space="preserve">Incluye el desarrollo de las funcionalidades esenciales para validar el modelo de negocio con un grupo acotado de centros deportivos piloto en el Cusco: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Registro y publicación de canchas por parte de centros deportivos.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Motor de búsqueda y reserva con calendario de disponibilidad en tiempo real.</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Integración de pagos con al menos una pasarela (Culqi) y soporte para Yape y Plin.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Panel de administración básico para centros deportivos (calendario, reservas, reportes simples).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Aplicación móvil (iOS y Android) y versión web responsiva para el deportista.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Onboarding manual y asistido de 15 a 20 centros deportivos piloto.</w:t>
      </w:r>
    </w:p>
    <w:p>
      <w:pPr>
        <w:pStyle w:val="Heading2"/>
        <w:spacing w:after="160" w:before="300"/>
        <w:jc w:val="left"/>
      </w:pPr>
      <w:r>
        <w:rPr>
          <w:rFonts w:ascii="Times New Roman" w:cs="Times New Roman" w:eastAsia="Times New Roman" w:hAnsi="Times New Roman"/>
          <w:b/>
          <w:bCs/>
          <w:color w:val="12314F"/>
          <w:sz w:val="25"/>
          <w:szCs w:val="25"/>
        </w:rPr>
        <w:t xml:space="preserve">6.2 Fase 2 — Lanzamiento Comercial en Cusco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Apertura del módulo de organización de campeonatos para instituciones privadas.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Ampliación de la base de centros deportivos afiliados a 45 o más.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Lanzamiento de los planes de suscripción Pro y Premium para centros deportivos.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Implementación del sistema de reputación y calificaciones.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Campañas de adquisición de usuarios (deportistas) en la ciudad del Cusco.</w:t>
      </w:r>
    </w:p>
    <w:p>
      <w:pPr>
        <w:pStyle w:val="Heading2"/>
        <w:spacing w:after="160" w:before="300"/>
        <w:jc w:val="left"/>
      </w:pPr>
      <w:r>
        <w:rPr>
          <w:rFonts w:ascii="Times New Roman" w:cs="Times New Roman" w:eastAsia="Times New Roman" w:hAnsi="Times New Roman"/>
          <w:b/>
          <w:bCs/>
          <w:color w:val="12314F"/>
          <w:sz w:val="25"/>
          <w:szCs w:val="25"/>
        </w:rPr>
        <w:t xml:space="preserve">6.3 Fase 3 — Consolidación y Expansión hacia el Valle Sagrado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Incorporación de convenios con instituciones públicas (municipalidad, colegios) para el módulo de campeonatos.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Expansión de cobertura hacia Urubamba, Calca y otras localidades del Valle Sagrado, así como Sicuani.</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Introducción de la billetera interna y del programa de referidos.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Optimización de la estructura de costos para alcanzar el punto de equilibrio operativo.</w:t>
      </w:r>
    </w:p>
    <w:p>
      <w:pPr>
        <w:pStyle w:val="Heading2"/>
        <w:spacing w:after="160" w:before="300"/>
        <w:jc w:val="left"/>
      </w:pPr>
      <w:r>
        <w:rPr>
          <w:rFonts w:ascii="Times New Roman" w:cs="Times New Roman" w:eastAsia="Times New Roman" w:hAnsi="Times New Roman"/>
          <w:b/>
          <w:bCs/>
          <w:color w:val="12314F"/>
          <w:sz w:val="25"/>
          <w:szCs w:val="25"/>
        </w:rPr>
        <w:t xml:space="preserve">6.4 Fase 4 — Expansión Regional (Arequipa y Puno)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Réplica del modelo operativo validado en Cusco hacia las ciudades de Arequipa y Puno.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Fortalecimiento del equipo comercial y de soporte para operación multi-ciudad.</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Levantamiento de una ronda de inversión de expansión (serie A), adicional a la ronda semilla descrita en este documento.</w:t>
      </w:r>
    </w:p>
    <w:p>
      <w:pPr>
        <w:pStyle w:val="Heading2"/>
        <w:spacing w:after="160" w:before="300"/>
        <w:jc w:val="left"/>
      </w:pPr>
      <w:r>
        <w:rPr>
          <w:rFonts w:ascii="Times New Roman" w:cs="Times New Roman" w:eastAsia="Times New Roman" w:hAnsi="Times New Roman"/>
          <w:b/>
          <w:bCs/>
          <w:color w:val="12314F"/>
          <w:sz w:val="25"/>
          <w:szCs w:val="25"/>
        </w:rPr>
        <w:t xml:space="preserve">6.5 Fase 5 — Escalamiento Nacional</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Expansión hacia otras ciudades del sur y centro del Perú sobre la base del modelo replicable validado en las fases anteriores.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Evaluación de nuevas líneas de ingreso (por ejemplo, marketplace de implementos deportivos o alianzas con marcas nacionales).</w:t>
      </w:r>
    </w:p>
    <w:p>
      <w:pPr>
        <w:pStyle w:val="Heading2"/>
        <w:spacing w:after="160" w:before="300"/>
        <w:jc w:val="left"/>
      </w:pPr>
      <w:r>
        <w:rPr>
          <w:rFonts w:ascii="Times New Roman" w:cs="Times New Roman" w:eastAsia="Times New Roman" w:hAnsi="Times New Roman"/>
          <w:b/>
          <w:bCs/>
          <w:color w:val="12314F"/>
          <w:sz w:val="25"/>
          <w:szCs w:val="25"/>
        </w:rPr>
        <w:t xml:space="preserve">6.6 Exclusiones (Fuera de Alcance en esta Etapa)</w:t>
      </w:r>
    </w:p>
    <w:p>
      <w:pPr>
        <w:spacing w:after="160" w:line="264" w:lineRule="auto"/>
        <w:ind w:firstLine="720"/>
        <w:jc w:val="left"/>
      </w:pPr>
      <w:r>
        <w:rPr>
          <w:rFonts w:ascii="Times New Roman" w:cs="Times New Roman" w:eastAsia="Times New Roman" w:hAnsi="Times New Roman"/>
          <w:sz w:val="22"/>
          <w:szCs w:val="22"/>
        </w:rPr>
        <w:t xml:space="preserve">Para mantener el foco y la disciplina de ejecución, este plan excluye explícitamente, al menos durante los primeros 24 meses, los siguientes elementos: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Desarrollo de canchas o infraestructura deportiva propia: KanchaYA es una capa de intermediación tecnológica, no un operador de instalaciones deportivas.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Expansión fuera del territorio peruano.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Venta o comercialización directa de implementos deportivos (más allá de espacios publicitarios para marcas del rubro).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Desarrollo de funcionalidades de transmisión en vivo (streaming) de partidos, que podría evaluarse en fases posteriores según la demanda validada.</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7. Arquitectura Tecnológica</w:t>
      </w:r>
    </w:p>
    <w:p>
      <w:pPr>
        <w:spacing w:after="160" w:line="264" w:lineRule="auto"/>
        <w:ind w:firstLine="720"/>
        <w:jc w:val="left"/>
      </w:pPr>
      <w:r>
        <w:rPr>
          <w:rFonts w:ascii="Times New Roman" w:cs="Times New Roman" w:eastAsia="Times New Roman" w:hAnsi="Times New Roman"/>
          <w:sz w:val="22"/>
          <w:szCs w:val="22"/>
        </w:rPr>
        <w:t xml:space="preserve">Esta sección describe la arquitectura propuesta para KanchaYA desde una perspectiva de nivel de sistema, adecuada para su presentación a representantes no necesariamente técnicos, pero suficientemente precisa para orientar al equipo de ingeniería durante la fase de desarrollo. La arquitectura se diseñó bajo tres criterios: escalabilidad (poder crecer de una ciudad a varias sin rediseños mayores), seguridad (protección de datos personales y financieros) y costo-eficiencia (adecuada para una operación en etapa temprana con recursos acotados).</w:t>
      </w:r>
    </w:p>
    <w:p>
      <w:pPr>
        <w:pStyle w:val="Heading2"/>
        <w:spacing w:after="160" w:before="300"/>
        <w:jc w:val="left"/>
      </w:pPr>
      <w:r>
        <w:rPr>
          <w:rFonts w:ascii="Times New Roman" w:cs="Times New Roman" w:eastAsia="Times New Roman" w:hAnsi="Times New Roman"/>
          <w:b/>
          <w:bCs/>
          <w:color w:val="12314F"/>
          <w:sz w:val="25"/>
          <w:szCs w:val="25"/>
        </w:rPr>
        <w:t xml:space="preserve">7.1 Arquitectura General del Sistema</w:t>
      </w:r>
    </w:p>
    <w:p>
      <w:pPr>
        <w:spacing w:after="160" w:line="264" w:lineRule="auto"/>
        <w:ind w:firstLine="720"/>
        <w:jc w:val="left"/>
      </w:pPr>
      <w:r>
        <w:rPr>
          <w:rFonts w:ascii="Times New Roman" w:cs="Times New Roman" w:eastAsia="Times New Roman" w:hAnsi="Times New Roman"/>
          <w:sz w:val="22"/>
          <w:szCs w:val="22"/>
        </w:rPr>
        <w:t xml:space="preserve">La plataforma se organiza en seis capas lógicas: clientes, borde y entrega, servicios de negocio, integraciones externas, datos y almacenamiento, e infraestructura. Esta separación permite que cada capa evolucione de forma relativamente independiente conforme crece la operación.</w:t>
      </w:r>
    </w:p>
    <w:p>
      <w:pPr>
        <w:spacing w:after="80" w:before="120"/>
        <w:jc w:val="center"/>
      </w:pPr>
      <w:r>
        <w:drawing>
          <wp:inline distT="0" distB="0" distL="0" distR="0">
            <wp:extent cx="59436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962525"/>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3</w:t>
      </w:r>
      <w:r>
        <w:rPr>
          <w:rFonts w:ascii="Times New Roman" w:cs="Times New Roman" w:eastAsia="Times New Roman" w:hAnsi="Times New Roman"/>
          <w:i/>
          <w:iCs/>
          <w:sz w:val="20"/>
          <w:szCs w:val="20"/>
        </w:rPr>
        <w:t xml:space="preserve">. Arquitectura tecnológica general de la plataforma KanchaYA.</w:t>
      </w:r>
    </w:p>
    <w:p>
      <w:pPr>
        <w:spacing w:after="200" w:before="40"/>
        <w:jc w:val="left"/>
      </w:pPr>
      <w:r>
        <w:rPr>
          <w:rFonts w:ascii="Times New Roman" w:cs="Times New Roman" w:eastAsia="Times New Roman" w:hAnsi="Times New Roman"/>
          <w:i/>
          <w:iCs/>
          <w:color w:val="5A6672"/>
          <w:sz w:val="18"/>
          <w:szCs w:val="18"/>
        </w:rPr>
        <w:t xml:space="preserve">Nota. Elaboración propia.</w:t>
      </w:r>
    </w:p>
    <w:p>
      <w:pPr>
        <w:pStyle w:val="Heading3"/>
        <w:spacing w:after="140" w:before="220"/>
        <w:jc w:val="left"/>
      </w:pPr>
      <w:r>
        <w:rPr>
          <w:rFonts w:ascii="Times New Roman" w:cs="Times New Roman" w:eastAsia="Times New Roman" w:hAnsi="Times New Roman"/>
          <w:b/>
          <w:bCs/>
          <w:i/>
          <w:iCs/>
          <w:color w:val="1F4E79"/>
          <w:sz w:val="23"/>
          <w:szCs w:val="23"/>
        </w:rPr>
        <w:t xml:space="preserve">7.1.1 Capa de Clientes</w:t>
      </w:r>
    </w:p>
    <w:p>
      <w:pPr>
        <w:spacing w:after="160" w:line="264" w:lineRule="auto"/>
        <w:ind w:firstLine="720"/>
        <w:jc w:val="left"/>
      </w:pPr>
      <w:r>
        <w:rPr>
          <w:rFonts w:ascii="Times New Roman" w:cs="Times New Roman" w:eastAsia="Times New Roman" w:hAnsi="Times New Roman"/>
          <w:sz w:val="22"/>
          <w:szCs w:val="22"/>
        </w:rPr>
        <w:t xml:space="preserve">Comprende las cuatro interfaces a través de las cuales los distintos usuarios interactúan con la plataforma: la aplicación móvil para deportistas (iOS y Android), el panel web para centros deportivos asociados, el panel de campeonatos para instituciones, y el panel de administración interno (back office) utilizado por el equipo de KanchaYA para soporte, moderación y análisis.</w:t>
      </w:r>
    </w:p>
    <w:p>
      <w:pPr>
        <w:pStyle w:val="Heading3"/>
        <w:spacing w:after="140" w:before="220"/>
        <w:jc w:val="left"/>
      </w:pPr>
      <w:r>
        <w:rPr>
          <w:rFonts w:ascii="Times New Roman" w:cs="Times New Roman" w:eastAsia="Times New Roman" w:hAnsi="Times New Roman"/>
          <w:b/>
          <w:bCs/>
          <w:i/>
          <w:iCs/>
          <w:color w:val="1F4E79"/>
          <w:sz w:val="23"/>
          <w:szCs w:val="23"/>
        </w:rPr>
        <w:t xml:space="preserve">7.1.2 Capa de Borde y Entrega</w:t>
      </w:r>
    </w:p>
    <w:p>
      <w:pPr>
        <w:spacing w:after="160" w:line="264" w:lineRule="auto"/>
        <w:ind w:firstLine="720"/>
        <w:jc w:val="left"/>
      </w:pPr>
      <w:r>
        <w:rPr>
          <w:rFonts w:ascii="Times New Roman" w:cs="Times New Roman" w:eastAsia="Times New Roman" w:hAnsi="Times New Roman"/>
          <w:sz w:val="22"/>
          <w:szCs w:val="22"/>
        </w:rPr>
        <w:t xml:space="preserve">Un servicio de red de distribución de contenido (CDN) combinado con un firewall de aplicaciones web (WAF) protege la plataforma frente a ataques comunes y acelera la entrega de contenido estático (imágenes de canchas, recursos de la aplicación). Un API Gateway centraliza el enrutamiento de solicitudes hacia los distintos microservicios, aplicando límites de tasa (rate limiting) y autenticación.</w:t>
      </w:r>
    </w:p>
    <w:p>
      <w:pPr>
        <w:pStyle w:val="Heading3"/>
        <w:spacing w:after="140" w:before="220"/>
        <w:jc w:val="left"/>
      </w:pPr>
      <w:r>
        <w:rPr>
          <w:rFonts w:ascii="Times New Roman" w:cs="Times New Roman" w:eastAsia="Times New Roman" w:hAnsi="Times New Roman"/>
          <w:b/>
          <w:bCs/>
          <w:i/>
          <w:iCs/>
          <w:color w:val="1F4E79"/>
          <w:sz w:val="23"/>
          <w:szCs w:val="23"/>
        </w:rPr>
        <w:t xml:space="preserve">7.1.3 Capa de Servicios de Negocio</w:t>
      </w:r>
    </w:p>
    <w:p>
      <w:pPr>
        <w:spacing w:after="160" w:line="264" w:lineRule="auto"/>
        <w:ind w:firstLine="720"/>
        <w:jc w:val="left"/>
      </w:pPr>
      <w:r>
        <w:rPr>
          <w:rFonts w:ascii="Times New Roman" w:cs="Times New Roman" w:eastAsia="Times New Roman" w:hAnsi="Times New Roman"/>
          <w:sz w:val="22"/>
          <w:szCs w:val="22"/>
        </w:rPr>
        <w:t xml:space="preserve">El backend se organiza como un conjunto de microservicios desplegados en contenedores, cada uno responsable de un dominio de negocio acotado. Esta decisión de diseño facilita que distintos equipos (o, en etapas iniciales, distintos desarrolladores) puedan trabajar en paralelo sobre módulos independientes, y que la plataforma escale de forma selectiva: por ejemplo, el servicio de búsqueda puede escalar de forma independiente al servicio de pagos si un tipo de carga crece más rápido que otro.</w:t>
      </w:r>
    </w:p>
    <w:p>
      <w:pPr>
        <w:spacing w:after="100"/>
        <w:jc w:val="left"/>
      </w:pPr>
      <w:r>
        <w:rPr>
          <w:rFonts w:ascii="Times New Roman" w:cs="Times New Roman" w:eastAsia="Times New Roman" w:hAnsi="Times New Roman"/>
          <w:i/>
          <w:iCs/>
          <w:sz w:val="20"/>
          <w:szCs w:val="20"/>
        </w:rPr>
        <w:t xml:space="preserve">Tabla 5. Microservicios principales y su responsabilidad</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2600"/>
        <w:gridCol w:w="6900"/>
      </w:tblGrid>
      <w:tr>
        <w:trPr>
          <w:tblHeader/>
        </w:trPr>
        <w:tc>
          <w:tcPr>
            <w:tcW w:type="dxa" w:w="26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Microservicio</w:t>
            </w:r>
          </w:p>
        </w:tc>
        <w:tc>
          <w:tcPr>
            <w:tcW w:type="dxa" w:w="6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Responsabilidad principal</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Identidad y autenticación</w:t>
            </w:r>
          </w:p>
        </w:tc>
        <w:tc>
          <w:tcPr>
            <w:tcW w:type="dxa" w:w="6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Registro, inicio de sesión, gestión de roles (deportista, administrador de centro, organizador, staff interno) y tokens de sesión.</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Reservas y disponibilidad</w:t>
            </w:r>
          </w:p>
        </w:tc>
        <w:tc>
          <w:tcPr>
            <w:tcW w:type="dxa" w:w="6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Calendario de disponibilidad de cada cancha, creación y cancelación de reservas, prevención de dobles reservas (conflictos de horario).</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Pagos y liquidaciones</w:t>
            </w:r>
          </w:p>
        </w:tc>
        <w:tc>
          <w:tcPr>
            <w:tcW w:type="dxa" w:w="6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Orquestación de cobros a través de las pasarelas de pago, cálculo de comisiones y liquidación periódica a los centros deportivos.</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Campeonatos y torneos</w:t>
            </w:r>
          </w:p>
        </w:tc>
        <w:tc>
          <w:tcPr>
            <w:tcW w:type="dxa" w:w="6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Creación de campeonatos, generación de cuadros de competencia, inscripciones, calendarización y registro de resultados.</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Búsqueda y geolocalización</w:t>
            </w:r>
          </w:p>
        </w:tc>
        <w:tc>
          <w:tcPr>
            <w:tcW w:type="dxa" w:w="6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Indexación de canchas por deporte, ubicación, precio y disponibilidad; cálculo de distancia y resultados ordenados por relevancia.</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Notificaciones</w:t>
            </w:r>
          </w:p>
        </w:tc>
        <w:tc>
          <w:tcPr>
            <w:tcW w:type="dxa" w:w="6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Envío de recordatorios, confirmaciones y alertas vía notificaciones push, correo electrónico y WhatsApp.</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Reputación y reseñas</w:t>
            </w:r>
          </w:p>
        </w:tc>
        <w:tc>
          <w:tcPr>
            <w:tcW w:type="dxa" w:w="6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Calificaciones bidireccionales entre deportistas y centros deportivos, y moderación de contenido generado por usuarios.</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Analítica y reportes</w:t>
            </w:r>
          </w:p>
        </w:tc>
        <w:tc>
          <w:tcPr>
            <w:tcW w:type="dxa" w:w="6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Generación de reportes de ocupación, ingresos y comportamiento de usuario para centros deportivos y para el equipo interno.</w:t>
            </w:r>
          </w:p>
        </w:tc>
      </w:tr>
    </w:tbl>
    <w:p>
      <w:pPr>
        <w:pStyle w:val="Heading3"/>
        <w:spacing w:after="140" w:before="220"/>
        <w:jc w:val="left"/>
      </w:pPr>
      <w:r>
        <w:rPr>
          <w:rFonts w:ascii="Times New Roman" w:cs="Times New Roman" w:eastAsia="Times New Roman" w:hAnsi="Times New Roman"/>
          <w:b/>
          <w:bCs/>
          <w:i/>
          <w:iCs/>
          <w:color w:val="1F4E79"/>
          <w:sz w:val="23"/>
          <w:szCs w:val="23"/>
        </w:rPr>
        <w:t xml:space="preserve">7.1.4 Capa de Integraciones Externas</w:t>
      </w:r>
    </w:p>
    <w:p>
      <w:pPr>
        <w:spacing w:after="160" w:line="264" w:lineRule="auto"/>
        <w:ind w:firstLine="720"/>
        <w:jc w:val="left"/>
      </w:pPr>
      <w:r>
        <w:rPr>
          <w:rFonts w:ascii="Times New Roman" w:cs="Times New Roman" w:eastAsia="Times New Roman" w:hAnsi="Times New Roman"/>
          <w:sz w:val="22"/>
          <w:szCs w:val="22"/>
        </w:rPr>
        <w:t xml:space="preserve">La plataforma no reconstruye funcionalidades que ya existen de forma madura en el mercado, sino que se integra con proveedores especializados: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Pasarelas de pago (Culqi y Niubiz): </w:t>
      </w:r>
      <w:r>
        <w:rPr>
          <w:rFonts w:ascii="Times New Roman" w:cs="Times New Roman" w:eastAsia="Times New Roman" w:hAnsi="Times New Roman"/>
          <w:b w:val="false"/>
          <w:bCs w:val="false"/>
          <w:i w:val="false"/>
          <w:iCs w:val="false"/>
          <w:sz w:val="22"/>
          <w:szCs w:val="22"/>
        </w:rPr>
        <w:t xml:space="preserve">Culqi se propone como pasarela primaria por su modelo sin costos fijos mensuales y su comisión competitiva para negocios en etapa temprana (aproximadamente 3.44 % más IGV para tarjetas nacionales), mientras que Niubiz se mantiene como alternativa de respaldo y para negociar tarifas preferenciales una vez alcanzado mayor volumen transaccional (Riqra, 2026).</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Billeteras móviles (Yape y Plin): </w:t>
      </w:r>
      <w:r>
        <w:rPr>
          <w:rFonts w:ascii="Times New Roman" w:cs="Times New Roman" w:eastAsia="Times New Roman" w:hAnsi="Times New Roman"/>
          <w:b w:val="false"/>
          <w:bCs w:val="false"/>
          <w:i w:val="false"/>
          <w:iCs w:val="false"/>
          <w:sz w:val="22"/>
          <w:szCs w:val="22"/>
        </w:rPr>
        <w:t xml:space="preserve">integradas de forma nativa a través de la pasarela de pago principal, dado su altísimo nivel de adopción entre el público objetivo.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Google Maps Platform: </w:t>
      </w:r>
      <w:r>
        <w:rPr>
          <w:rFonts w:ascii="Times New Roman" w:cs="Times New Roman" w:eastAsia="Times New Roman" w:hAnsi="Times New Roman"/>
          <w:b w:val="false"/>
          <w:bCs w:val="false"/>
          <w:i w:val="false"/>
          <w:iCs w:val="false"/>
          <w:sz w:val="22"/>
          <w:szCs w:val="22"/>
        </w:rPr>
        <w:t xml:space="preserve">geolocalización de canchas, cálculo de distancias y visualización de mapas dentro de la aplicación.</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WhatsApp Business API y SendGrid: </w:t>
      </w:r>
      <w:r>
        <w:rPr>
          <w:rFonts w:ascii="Times New Roman" w:cs="Times New Roman" w:eastAsia="Times New Roman" w:hAnsi="Times New Roman"/>
          <w:b w:val="false"/>
          <w:bCs w:val="false"/>
          <w:i w:val="false"/>
          <w:iCs w:val="false"/>
          <w:sz w:val="22"/>
          <w:szCs w:val="22"/>
        </w:rPr>
        <w:t xml:space="preserve">canal complementario de notificaciones, dado el uso extendido de WhatsApp como canal de comunicación preferente en el Perú.</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Firebase Cloud Messaging: </w:t>
      </w:r>
      <w:r>
        <w:rPr>
          <w:rFonts w:ascii="Times New Roman" w:cs="Times New Roman" w:eastAsia="Times New Roman" w:hAnsi="Times New Roman"/>
          <w:b w:val="false"/>
          <w:bCs w:val="false"/>
          <w:i w:val="false"/>
          <w:iCs w:val="false"/>
          <w:sz w:val="22"/>
          <w:szCs w:val="22"/>
        </w:rPr>
        <w:t xml:space="preserve">notificaciones push nativas para las aplicaciones móviles.</w:t>
      </w:r>
    </w:p>
    <w:p>
      <w:pPr>
        <w:pStyle w:val="Heading3"/>
        <w:spacing w:after="140" w:before="220"/>
        <w:jc w:val="left"/>
      </w:pPr>
      <w:r>
        <w:rPr>
          <w:rFonts w:ascii="Times New Roman" w:cs="Times New Roman" w:eastAsia="Times New Roman" w:hAnsi="Times New Roman"/>
          <w:b/>
          <w:bCs/>
          <w:i/>
          <w:iCs/>
          <w:color w:val="1F4E79"/>
          <w:sz w:val="23"/>
          <w:szCs w:val="23"/>
        </w:rPr>
        <w:t xml:space="preserve">7.1.5 Capa de Datos y Almacenamiento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PostgreSQL: </w:t>
      </w:r>
      <w:r>
        <w:rPr>
          <w:rFonts w:ascii="Times New Roman" w:cs="Times New Roman" w:eastAsia="Times New Roman" w:hAnsi="Times New Roman"/>
          <w:b w:val="false"/>
          <w:bCs w:val="false"/>
          <w:i w:val="false"/>
          <w:iCs w:val="false"/>
          <w:sz w:val="22"/>
          <w:szCs w:val="22"/>
        </w:rPr>
        <w:t xml:space="preserve">motor de base de datos relacional para todos los datos transaccionales (usuarios, reservas, pagos, campeonatos), priorizado por su solidez para garantizar la integridad de las transacciones financieras.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Redis: </w:t>
      </w:r>
      <w:r>
        <w:rPr>
          <w:rFonts w:ascii="Times New Roman" w:cs="Times New Roman" w:eastAsia="Times New Roman" w:hAnsi="Times New Roman"/>
          <w:b w:val="false"/>
          <w:bCs w:val="false"/>
          <w:i w:val="false"/>
          <w:iCs w:val="false"/>
          <w:sz w:val="22"/>
          <w:szCs w:val="22"/>
        </w:rPr>
        <w:t xml:space="preserve">caché en memoria para datos de alta frecuencia de lectura (disponibilidad de canchas, sesiones activas), reduciendo la carga sobre la base de datos principal.</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Elasticsearch: </w:t>
      </w:r>
      <w:r>
        <w:rPr>
          <w:rFonts w:ascii="Times New Roman" w:cs="Times New Roman" w:eastAsia="Times New Roman" w:hAnsi="Times New Roman"/>
          <w:b w:val="false"/>
          <w:bCs w:val="false"/>
          <w:i w:val="false"/>
          <w:iCs w:val="false"/>
          <w:sz w:val="22"/>
          <w:szCs w:val="22"/>
        </w:rPr>
        <w:t xml:space="preserve">motor de búsqueda optimizado para las consultas de canchas por múltiples filtros (deporte, ubicación, precio, horario).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S3 / Cloud Storage: </w:t>
      </w:r>
      <w:r>
        <w:rPr>
          <w:rFonts w:ascii="Times New Roman" w:cs="Times New Roman" w:eastAsia="Times New Roman" w:hAnsi="Times New Roman"/>
          <w:b w:val="false"/>
          <w:bCs w:val="false"/>
          <w:i w:val="false"/>
          <w:iCs w:val="false"/>
          <w:sz w:val="22"/>
          <w:szCs w:val="22"/>
        </w:rPr>
        <w:t xml:space="preserve">almacenamiento de objetos para fotografías de canchas y documentos (comprobantes, contratos digitales con centros deportivos).</w:t>
      </w:r>
    </w:p>
    <w:p>
      <w:pPr>
        <w:pStyle w:val="Heading3"/>
        <w:spacing w:after="140" w:before="220"/>
        <w:jc w:val="left"/>
      </w:pPr>
      <w:r>
        <w:rPr>
          <w:rFonts w:ascii="Times New Roman" w:cs="Times New Roman" w:eastAsia="Times New Roman" w:hAnsi="Times New Roman"/>
          <w:b/>
          <w:bCs/>
          <w:i/>
          <w:iCs/>
          <w:color w:val="1F4E79"/>
          <w:sz w:val="23"/>
          <w:szCs w:val="23"/>
        </w:rPr>
        <w:t xml:space="preserve">7.1.6 Capa de Infraestructura y Operaciones</w:t>
      </w:r>
    </w:p>
    <w:p>
      <w:pPr>
        <w:spacing w:after="160" w:line="264" w:lineRule="auto"/>
        <w:ind w:firstLine="720"/>
        <w:jc w:val="left"/>
      </w:pPr>
      <w:r>
        <w:rPr>
          <w:rFonts w:ascii="Times New Roman" w:cs="Times New Roman" w:eastAsia="Times New Roman" w:hAnsi="Times New Roman"/>
          <w:sz w:val="22"/>
          <w:szCs w:val="22"/>
        </w:rPr>
        <w:t xml:space="preserve">La infraestructura se desplegará sobre un proveedor de nube pública (AWS o GCP, a definir en función de costos y créditos disponibles para startups al momento de la implementación), utilizando orquestación de contenedores (Kubernetes o el servicio administrado equivalente del proveedor elegido), integración y entrega continua (CI/CD) mediante GitHub Actions, monitoreo de la plataforma con herramientas como Grafana o Datadog, y una política de copias de seguridad y recuperación ante desastres con respaldos automatizados y probados periódicamente.</w:t>
      </w:r>
    </w:p>
    <w:p>
      <w:pPr>
        <w:pStyle w:val="Heading2"/>
        <w:spacing w:after="160" w:before="300"/>
        <w:jc w:val="left"/>
      </w:pPr>
      <w:r>
        <w:rPr>
          <w:rFonts w:ascii="Times New Roman" w:cs="Times New Roman" w:eastAsia="Times New Roman" w:hAnsi="Times New Roman"/>
          <w:b/>
          <w:bCs/>
          <w:color w:val="12314F"/>
          <w:sz w:val="25"/>
          <w:szCs w:val="25"/>
        </w:rPr>
        <w:t xml:space="preserve">7.2 Stack Tecnológico Propuesto</w:t>
      </w:r>
    </w:p>
    <w:p>
      <w:pPr>
        <w:spacing w:after="100"/>
        <w:jc w:val="left"/>
      </w:pPr>
      <w:r>
        <w:rPr>
          <w:rFonts w:ascii="Times New Roman" w:cs="Times New Roman" w:eastAsia="Times New Roman" w:hAnsi="Times New Roman"/>
          <w:i/>
          <w:iCs/>
          <w:sz w:val="20"/>
          <w:szCs w:val="20"/>
        </w:rPr>
        <w:t xml:space="preserve">Tabla 6. Stack tecnológico propuesto por capa</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2400"/>
        <w:gridCol w:w="2800"/>
        <w:gridCol w:w="4300"/>
      </w:tblGrid>
      <w:tr>
        <w:trPr>
          <w:tblHeader/>
        </w:trPr>
        <w:tc>
          <w:tcPr>
            <w:tcW w:type="dxa" w:w="24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Componente</w:t>
            </w:r>
          </w:p>
        </w:tc>
        <w:tc>
          <w:tcPr>
            <w:tcW w:type="dxa" w:w="28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Tecnología propuesta</w:t>
            </w:r>
          </w:p>
        </w:tc>
        <w:tc>
          <w:tcPr>
            <w:tcW w:type="dxa" w:w="4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Justificación</w:t>
            </w:r>
          </w:p>
        </w:tc>
      </w:tr>
      <w:tr>
        <w:tc>
          <w:tcPr>
            <w:tcW w:type="dxa" w:w="2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Aplicación móvil</w:t>
            </w:r>
          </w:p>
        </w:tc>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React Native</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Permite mantener una única base de código para iOS y Android, acelerando el desarrollo con un equipo reducido.</w:t>
            </w:r>
          </w:p>
        </w:tc>
      </w:tr>
      <w:tr>
        <w:tc>
          <w:tcPr>
            <w:tcW w:type="dxa" w:w="2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Aplicación web</w:t>
            </w:r>
          </w:p>
        </w:tc>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Next.js (React)</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Renderizado eficiente, buen rendimiento en buscadores (SEO) para la captación orgánica de centros deportivos y deportistas.</w:t>
            </w:r>
          </w:p>
        </w:tc>
      </w:tr>
      <w:tr>
        <w:tc>
          <w:tcPr>
            <w:tcW w:type="dxa" w:w="2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Backend / microservicios</w:t>
            </w:r>
          </w:p>
        </w:tc>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Node.js (NestJS) sobre API REST</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Ecosistema maduro, alta disponibilidad de talento en el mercado peruano y curva de aprendizaje razonable para un equipo pequeño.</w:t>
            </w:r>
          </w:p>
        </w:tc>
      </w:tr>
      <w:tr>
        <w:tc>
          <w:tcPr>
            <w:tcW w:type="dxa" w:w="2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Base de datos transaccional</w:t>
            </w:r>
          </w:p>
        </w:tc>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PostgreSQL</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Robustez, soporte transaccional (ACID) necesario para reservas y pagos, y amplio soporte en los principales proveedores de nube.</w:t>
            </w:r>
          </w:p>
        </w:tc>
      </w:tr>
      <w:tr>
        <w:tc>
          <w:tcPr>
            <w:tcW w:type="dxa" w:w="2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Caché y sesiones</w:t>
            </w:r>
          </w:p>
        </w:tc>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Redis</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Estándar de la industria para caché de alta velocidad y baja latencia.</w:t>
            </w:r>
          </w:p>
        </w:tc>
      </w:tr>
      <w:tr>
        <w:tc>
          <w:tcPr>
            <w:tcW w:type="dxa" w:w="2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Búsqueda</w:t>
            </w:r>
          </w:p>
        </w:tc>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Elasticsearch</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Búsqueda de texto y filtros combinados de alto rendimiento.</w:t>
            </w:r>
          </w:p>
        </w:tc>
      </w:tr>
      <w:tr>
        <w:tc>
          <w:tcPr>
            <w:tcW w:type="dxa" w:w="2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Contenedores y orquestación</w:t>
            </w:r>
          </w:p>
        </w:tc>
        <w:tc>
          <w:tcPr>
            <w:tcW w:type="dxa" w:w="2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Docker + Kubernetes (o ECS/Cloud Run)</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Portabilidad entre entornos y escalamiento horizontal automatizado según demanda.</w:t>
            </w:r>
          </w:p>
        </w:tc>
      </w:tr>
      <w:tr>
        <w:tc>
          <w:tcPr>
            <w:tcW w:type="dxa" w:w="2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CI/CD</w:t>
            </w:r>
          </w:p>
        </w:tc>
        <w:tc>
          <w:tcPr>
            <w:tcW w:type="dxa" w:w="2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GitHub Actions</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Integración directa con el repositorio de código y bajo costo para equipos pequeños.</w:t>
            </w:r>
          </w:p>
        </w:tc>
      </w:tr>
    </w:tbl>
    <w:p>
      <w:pPr>
        <w:pStyle w:val="Heading2"/>
        <w:spacing w:after="160" w:before="300"/>
        <w:jc w:val="left"/>
      </w:pPr>
      <w:r>
        <w:rPr>
          <w:rFonts w:ascii="Times New Roman" w:cs="Times New Roman" w:eastAsia="Times New Roman" w:hAnsi="Times New Roman"/>
          <w:b/>
          <w:bCs/>
          <w:color w:val="12314F"/>
          <w:sz w:val="25"/>
          <w:szCs w:val="25"/>
        </w:rPr>
        <w:t xml:space="preserve">7.3 Modelo de Datos: Entidades Principales</w:t>
      </w:r>
    </w:p>
    <w:p>
      <w:pPr>
        <w:spacing w:after="160" w:line="264" w:lineRule="auto"/>
        <w:ind w:firstLine="720"/>
        <w:jc w:val="left"/>
      </w:pPr>
      <w:r>
        <w:rPr>
          <w:rFonts w:ascii="Times New Roman" w:cs="Times New Roman" w:eastAsia="Times New Roman" w:hAnsi="Times New Roman"/>
          <w:sz w:val="22"/>
          <w:szCs w:val="22"/>
        </w:rPr>
        <w:t xml:space="preserve">El modelo de datos se organiza alrededor de siete entidades principales, cuyas relaciones constituyen el núcleo del dominio de negocio: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Usuario: </w:t>
      </w:r>
      <w:r>
        <w:rPr>
          <w:rFonts w:ascii="Times New Roman" w:cs="Times New Roman" w:eastAsia="Times New Roman" w:hAnsi="Times New Roman"/>
          <w:b w:val="false"/>
          <w:bCs w:val="false"/>
          <w:i w:val="false"/>
          <w:iCs w:val="false"/>
          <w:sz w:val="22"/>
          <w:szCs w:val="22"/>
        </w:rPr>
        <w:t xml:space="preserve">perfil base, con roles diferenciados (deportista, administrador de centro, organizador de campeonato, staff interno).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Centro deportivo: </w:t>
      </w:r>
      <w:r>
        <w:rPr>
          <w:rFonts w:ascii="Times New Roman" w:cs="Times New Roman" w:eastAsia="Times New Roman" w:hAnsi="Times New Roman"/>
          <w:b w:val="false"/>
          <w:bCs w:val="false"/>
          <w:i w:val="false"/>
          <w:iCs w:val="false"/>
          <w:sz w:val="22"/>
          <w:szCs w:val="22"/>
        </w:rPr>
        <w:t xml:space="preserve">entidad que agrupa una o más canchas, con datos de ubicación, contacto y verificación.</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Cancha: </w:t>
      </w:r>
      <w:r>
        <w:rPr>
          <w:rFonts w:ascii="Times New Roman" w:cs="Times New Roman" w:eastAsia="Times New Roman" w:hAnsi="Times New Roman"/>
          <w:b w:val="false"/>
          <w:bCs w:val="false"/>
          <w:i w:val="false"/>
          <w:iCs w:val="false"/>
          <w:sz w:val="22"/>
          <w:szCs w:val="22"/>
        </w:rPr>
        <w:t xml:space="preserve">unidad reservable, asociada a un centro deportivo, con deporte(s) habilitado(s), precios y reglas de disponibilidad.</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Reserva: </w:t>
      </w:r>
      <w:r>
        <w:rPr>
          <w:rFonts w:ascii="Times New Roman" w:cs="Times New Roman" w:eastAsia="Times New Roman" w:hAnsi="Times New Roman"/>
          <w:b w:val="false"/>
          <w:bCs w:val="false"/>
          <w:i w:val="false"/>
          <w:iCs w:val="false"/>
          <w:sz w:val="22"/>
          <w:szCs w:val="22"/>
        </w:rPr>
        <w:t xml:space="preserve">transacción que vincula un usuario, una cancha y una franja horaria específica, con su estado de pago asociado.</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Pago: </w:t>
      </w:r>
      <w:r>
        <w:rPr>
          <w:rFonts w:ascii="Times New Roman" w:cs="Times New Roman" w:eastAsia="Times New Roman" w:hAnsi="Times New Roman"/>
          <w:b w:val="false"/>
          <w:bCs w:val="false"/>
          <w:i w:val="false"/>
          <w:iCs w:val="false"/>
          <w:sz w:val="22"/>
          <w:szCs w:val="22"/>
        </w:rPr>
        <w:t xml:space="preserve">registro de la transacción financiera, vinculado a una reserva o a una inscripción de campeonato, con su comisión correspondiente.</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Campeonato: </w:t>
      </w:r>
      <w:r>
        <w:rPr>
          <w:rFonts w:ascii="Times New Roman" w:cs="Times New Roman" w:eastAsia="Times New Roman" w:hAnsi="Times New Roman"/>
          <w:b w:val="false"/>
          <w:bCs w:val="false"/>
          <w:i w:val="false"/>
          <w:iCs w:val="false"/>
          <w:sz w:val="22"/>
          <w:szCs w:val="22"/>
        </w:rPr>
        <w:t xml:space="preserve">entidad organizada por una institución, que agrupa equipos, partidos (cada uno vinculado, a su vez, a una reserva de cancha) y resultados.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Reseña: </w:t>
      </w:r>
      <w:r>
        <w:rPr>
          <w:rFonts w:ascii="Times New Roman" w:cs="Times New Roman" w:eastAsia="Times New Roman" w:hAnsi="Times New Roman"/>
          <w:b w:val="false"/>
          <w:bCs w:val="false"/>
          <w:i w:val="false"/>
          <w:iCs w:val="false"/>
          <w:sz w:val="22"/>
          <w:szCs w:val="22"/>
        </w:rPr>
        <w:t xml:space="preserve">calificación bidireccional entre un usuario y un centro deportivo, vinculada a una reserva específica.</w:t>
      </w:r>
    </w:p>
    <w:p>
      <w:pPr>
        <w:pStyle w:val="Heading2"/>
        <w:spacing w:after="160" w:before="300"/>
        <w:jc w:val="left"/>
      </w:pPr>
      <w:r>
        <w:rPr>
          <w:rFonts w:ascii="Times New Roman" w:cs="Times New Roman" w:eastAsia="Times New Roman" w:hAnsi="Times New Roman"/>
          <w:b/>
          <w:bCs/>
          <w:color w:val="12314F"/>
          <w:sz w:val="25"/>
          <w:szCs w:val="25"/>
        </w:rPr>
        <w:t xml:space="preserve">7.4 Seguridad de la Información</w:t>
      </w:r>
    </w:p>
    <w:p>
      <w:pPr>
        <w:spacing w:after="160" w:line="264" w:lineRule="auto"/>
        <w:ind w:firstLine="720"/>
        <w:jc w:val="left"/>
      </w:pPr>
      <w:r>
        <w:rPr>
          <w:rFonts w:ascii="Times New Roman" w:cs="Times New Roman" w:eastAsia="Times New Roman" w:hAnsi="Times New Roman"/>
          <w:sz w:val="22"/>
          <w:szCs w:val="22"/>
        </w:rPr>
        <w:t xml:space="preserve">Dado que la plataforma procesa datos personales y financieros, la seguridad se aborda como un requisito transversal desde el diseño (privacy by design), en línea con los principios de la Ley N.º 29733, Ley de Protección de Datos Personales (Congreso de la República del Perú, 2011), desarrollada con mayor detalle en la sección 13.3 de este documento: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Cifrado en tránsito (TLS/SSL) para toda comunicación entre clientes y servidores, y cifrado en reposo para datos sensibles almacenados en base de datos.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Tokenización de datos de tarjetas de pago a través de las pasarelas certificadas (Culqi, Niubiz), evitando que KanchaYA almacene directamente números de tarjeta completos, lo que reduce significativamente el alcance de cumplimiento PCI-DSS requerido.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Autenticación robusta (incluyendo verificación en dos pasos para cuentas de administradores de centros deportivos, dado su acceso a información financiera).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Principio de mínimo privilegio en el acceso interno a datos de usuarios, con registro de auditoría (logs) de accesos a información sensible.</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Copias de seguridad automatizadas y cifradas, con pruebas periódicas de restauración.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Adopción de buenas prácticas del Open Web Application Security Project (OWASP) durante el ciclo de desarrollo de software.</w:t>
      </w:r>
    </w:p>
    <w:p>
      <w:pPr>
        <w:pStyle w:val="Heading2"/>
        <w:spacing w:after="160" w:before="300"/>
        <w:jc w:val="left"/>
      </w:pPr>
      <w:r>
        <w:rPr>
          <w:rFonts w:ascii="Times New Roman" w:cs="Times New Roman" w:eastAsia="Times New Roman" w:hAnsi="Times New Roman"/>
          <w:b/>
          <w:bCs/>
          <w:color w:val="12314F"/>
          <w:sz w:val="25"/>
          <w:szCs w:val="25"/>
        </w:rPr>
        <w:t xml:space="preserve">7.5 Escalabilidad</w:t>
      </w:r>
    </w:p>
    <w:p>
      <w:pPr>
        <w:spacing w:after="160" w:line="264" w:lineRule="auto"/>
        <w:ind w:firstLine="720"/>
        <w:jc w:val="left"/>
      </w:pPr>
      <w:r>
        <w:rPr>
          <w:rFonts w:ascii="Times New Roman" w:cs="Times New Roman" w:eastAsia="Times New Roman" w:hAnsi="Times New Roman"/>
          <w:sz w:val="22"/>
          <w:szCs w:val="22"/>
        </w:rPr>
        <w:t xml:space="preserve">La arquitectura basada en microservicios desplegados en contenedores permite un escalamiento horizontal selectivo: durante los picos de demanda (por ejemplo, fines de semana o el lanzamiento de un campeonato masivo), el sistema puede asignar más recursos computacionales específicamente a los servicios de reservas y búsqueda, sin necesidad de escalar toda la plataforma de manera uniforme. Esta misma arquitectura es la que permite que la expansión hacia nuevas ciudades (fases 3 a 5 del alcance del proyecto) no requiera un rediseño estructural, sino principalmente la incorporación de nueva data geográfica y la eventual creación de instancias o particiones adicionales si el volumen de una región específica lo justifica.</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8. Modelo de Negocio y Monetización</w:t>
      </w:r>
    </w:p>
    <w:p>
      <w:pPr>
        <w:spacing w:after="160" w:line="264" w:lineRule="auto"/>
        <w:ind w:firstLine="720"/>
        <w:jc w:val="left"/>
      </w:pPr>
      <w:r>
        <w:rPr>
          <w:rFonts w:ascii="Times New Roman" w:cs="Times New Roman" w:eastAsia="Times New Roman" w:hAnsi="Times New Roman"/>
          <w:sz w:val="22"/>
          <w:szCs w:val="22"/>
        </w:rPr>
        <w:t xml:space="preserve">KanchaYA genera ingresos a través de cuatro fuentes complementarias, diseñadas para diversificar el riesgo comercial y para que la plataforma capture valor tanto de la transacción individual (reserva) como de la relación recurrente con sus socios (suscripción):</w:t>
      </w:r>
    </w:p>
    <w:p>
      <w:pPr>
        <w:pStyle w:val="Heading2"/>
        <w:spacing w:after="160" w:before="300"/>
        <w:jc w:val="left"/>
      </w:pPr>
      <w:r>
        <w:rPr>
          <w:rFonts w:ascii="Times New Roman" w:cs="Times New Roman" w:eastAsia="Times New Roman" w:hAnsi="Times New Roman"/>
          <w:b/>
          <w:bCs/>
          <w:color w:val="12314F"/>
          <w:sz w:val="25"/>
          <w:szCs w:val="25"/>
        </w:rPr>
        <w:t xml:space="preserve">8.1 Comisión por Reserva</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La fuente de ingreso primaria es una comisión aplicada sobre cada reserva procesada a través de la plataforma, cobrada al centro deportivo al momento de la liquidación. Se propone una estructura escalonada, que inicia en </w:t>
      </w:r>
      <w:r>
        <w:rPr>
          <w:rFonts w:ascii="Times New Roman" w:cs="Times New Roman" w:eastAsia="Times New Roman" w:hAnsi="Times New Roman"/>
          <w:b/>
          <w:bCs/>
          <w:i w:val="false"/>
          <w:iCs w:val="false"/>
          <w:sz w:val="22"/>
          <w:szCs w:val="22"/>
        </w:rPr>
        <w:t xml:space="preserve">9 %</w:t>
      </w:r>
      <w:r>
        <w:rPr>
          <w:rFonts w:ascii="Times New Roman" w:cs="Times New Roman" w:eastAsia="Times New Roman" w:hAnsi="Times New Roman"/>
          <w:b w:val="false"/>
          <w:bCs w:val="false"/>
          <w:i w:val="false"/>
          <w:iCs w:val="false"/>
          <w:sz w:val="22"/>
          <w:szCs w:val="22"/>
        </w:rPr>
        <w:t xml:space="preserve"> durante el primer año —para incentivar la adopción temprana— y crece gradualmente hasta </w:t>
      </w:r>
      <w:r>
        <w:rPr>
          <w:rFonts w:ascii="Times New Roman" w:cs="Times New Roman" w:eastAsia="Times New Roman" w:hAnsi="Times New Roman"/>
          <w:b/>
          <w:bCs/>
          <w:i w:val="false"/>
          <w:iCs w:val="false"/>
          <w:sz w:val="22"/>
          <w:szCs w:val="22"/>
        </w:rPr>
        <w:t xml:space="preserve">13 %</w:t>
      </w:r>
      <w:r>
        <w:rPr>
          <w:rFonts w:ascii="Times New Roman" w:cs="Times New Roman" w:eastAsia="Times New Roman" w:hAnsi="Times New Roman"/>
          <w:b w:val="false"/>
          <w:bCs w:val="false"/>
          <w:i w:val="false"/>
          <w:iCs w:val="false"/>
          <w:sz w:val="22"/>
          <w:szCs w:val="22"/>
        </w:rPr>
        <w:t xml:space="preserve"> hacia el quinto año, conforme la plataforma demuestre mayor valor agregado (más visibilidad, mejores herramientas de gestión, mayor volumen de demanda dirigida a cada centro).</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Esta tarifa se ubica por debajo de los rangos habituales de otras plataformas de intermediación de servicios (por ejemplo, aplicaciones de reparto de alimentos, que suelen cobrar entre 15 % y 30 % a sus restaurantes asociados) y es comparable, en su punto de partida, a la comisión de referencia de Playtomic en el mercado europeo, cercana al 4 % </w:t>
      </w:r>
      <w:r>
        <w:rPr>
          <w:rFonts w:ascii="Times New Roman" w:cs="Times New Roman" w:eastAsia="Times New Roman" w:hAnsi="Times New Roman"/>
          <w:b w:val="false"/>
          <w:bCs w:val="false"/>
          <w:i w:val="false"/>
          <w:iCs w:val="false"/>
          <w:sz w:val="22"/>
          <w:szCs w:val="22"/>
        </w:rPr>
        <w:t xml:space="preserve">(Forbes México, 2024)</w:t>
      </w:r>
      <w:r>
        <w:rPr>
          <w:rFonts w:ascii="Times New Roman" w:cs="Times New Roman" w:eastAsia="Times New Roman" w:hAnsi="Times New Roman"/>
          <w:b w:val="false"/>
          <w:bCs w:val="false"/>
          <w:i w:val="false"/>
          <w:iCs w:val="false"/>
          <w:sz w:val="22"/>
          <w:szCs w:val="22"/>
        </w:rPr>
        <w:t xml:space="preserve">, aunque KanchaYA parte de un nivel algo mayor para reflejar los costos de onboarding presencial y soporte cercano que implica desarrollar un mercado nuevo como el cusqueño.</w:t>
      </w:r>
    </w:p>
    <w:p>
      <w:pPr>
        <w:pStyle w:val="Heading2"/>
        <w:spacing w:after="160" w:before="300"/>
        <w:jc w:val="left"/>
      </w:pPr>
      <w:r>
        <w:rPr>
          <w:rFonts w:ascii="Times New Roman" w:cs="Times New Roman" w:eastAsia="Times New Roman" w:hAnsi="Times New Roman"/>
          <w:b/>
          <w:bCs/>
          <w:color w:val="12314F"/>
          <w:sz w:val="25"/>
          <w:szCs w:val="25"/>
        </w:rPr>
        <w:t xml:space="preserve">8.2 Suscripciones SaaS para Centros Deportivos</w:t>
      </w:r>
    </w:p>
    <w:p>
      <w:pPr>
        <w:spacing w:after="160" w:line="264" w:lineRule="auto"/>
        <w:ind w:firstLine="720"/>
        <w:jc w:val="left"/>
      </w:pPr>
      <w:r>
        <w:rPr>
          <w:rFonts w:ascii="Times New Roman" w:cs="Times New Roman" w:eastAsia="Times New Roman" w:hAnsi="Times New Roman"/>
          <w:sz w:val="22"/>
          <w:szCs w:val="22"/>
        </w:rPr>
        <w:t xml:space="preserve">Los centros deportivos pueden optar por planes de suscripción mensual que desbloquean herramientas adicionales de gestión y visibilidad:</w:t>
      </w:r>
    </w:p>
    <w:p>
      <w:pPr>
        <w:spacing w:after="100"/>
        <w:jc w:val="left"/>
      </w:pPr>
      <w:r>
        <w:rPr>
          <w:rFonts w:ascii="Times New Roman" w:cs="Times New Roman" w:eastAsia="Times New Roman" w:hAnsi="Times New Roman"/>
          <w:i/>
          <w:iCs/>
          <w:sz w:val="20"/>
          <w:szCs w:val="20"/>
        </w:rPr>
        <w:t xml:space="preserve">Tabla 7. Planes de suscripción para centros deportivos</w:t>
      </w:r>
    </w:p>
    <w:tbl>
      <w:tblPr>
        <w:tblW w:type="dxa" w:w="9300"/>
        <w:tblBorders>
          <w:top w:val="single" w:color="AAB4BF" w:sz="4"/>
          <w:left w:val="single" w:color="AAB4BF" w:sz="4"/>
          <w:bottom w:val="single" w:color="AAB4BF" w:sz="4"/>
          <w:right w:val="single" w:color="AAB4BF" w:sz="4"/>
          <w:insideH w:val="single" w:color="D3D9E0" w:sz="2"/>
          <w:insideV w:val="single" w:color="D3D9E0" w:sz="2"/>
        </w:tblBorders>
      </w:tblPr>
      <w:tblGrid>
        <w:gridCol w:w="1900"/>
        <w:gridCol w:w="1900"/>
        <w:gridCol w:w="5500"/>
      </w:tblGrid>
      <w:tr>
        <w:trPr>
          <w:tblHeader/>
        </w:trPr>
        <w:tc>
          <w:tcPr>
            <w:tcW w:type="dxa" w:w="1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Plan</w:t>
            </w:r>
          </w:p>
        </w:tc>
        <w:tc>
          <w:tcPr>
            <w:tcW w:type="dxa" w:w="1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Precio mensual</w:t>
            </w:r>
          </w:p>
        </w:tc>
        <w:tc>
          <w:tcPr>
            <w:tcW w:type="dxa" w:w="55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Incluye</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Básico</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Gratuito</w:t>
            </w:r>
          </w:p>
        </w:tc>
        <w:tc>
          <w:tcPr>
            <w:tcW w:type="dxa" w:w="55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Publicación de canchas, calendario de reservas, comisión estándar por transacción.</w:t>
            </w:r>
          </w:p>
        </w:tc>
      </w:tr>
      <w:tr>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Pro</w:t>
            </w:r>
          </w:p>
        </w:tc>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99</w:t>
            </w:r>
          </w:p>
        </w:tc>
        <w:tc>
          <w:tcPr>
            <w:tcW w:type="dxa" w:w="55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Analítica de ocupación e ingresos, gestión de múltiples canchas desde un solo panel, prioridad media en resultados de búsqueda.</w:t>
            </w:r>
          </w:p>
        </w:tc>
      </w:tr>
      <w:tr>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Premium</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199</w:t>
            </w:r>
          </w:p>
        </w:tc>
        <w:tc>
          <w:tcPr>
            <w:tcW w:type="dxa" w:w="55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Todo lo anterior, más acceso a herramientas del módulo de campeonatos, posicionamiento destacado, soporte prioritario y comisión reducida en 1 a 2 puntos porcentuales.</w:t>
            </w:r>
          </w:p>
        </w:tc>
      </w:tr>
    </w:tbl>
    <w:p>
      <w:pPr>
        <w:pStyle w:val="Heading2"/>
        <w:spacing w:after="160" w:before="300"/>
        <w:jc w:val="left"/>
      </w:pPr>
      <w:r>
        <w:rPr>
          <w:rFonts w:ascii="Times New Roman" w:cs="Times New Roman" w:eastAsia="Times New Roman" w:hAnsi="Times New Roman"/>
          <w:b/>
          <w:bCs/>
          <w:color w:val="12314F"/>
          <w:sz w:val="25"/>
          <w:szCs w:val="25"/>
        </w:rPr>
        <w:t xml:space="preserve">8.3 Módulo de Campeonatos</w:t>
      </w:r>
    </w:p>
    <w:p>
      <w:pPr>
        <w:spacing w:after="160" w:line="264" w:lineRule="auto"/>
        <w:ind w:firstLine="720"/>
        <w:jc w:val="left"/>
      </w:pPr>
      <w:r>
        <w:rPr>
          <w:rFonts w:ascii="Times New Roman" w:cs="Times New Roman" w:eastAsia="Times New Roman" w:hAnsi="Times New Roman"/>
          <w:sz w:val="22"/>
          <w:szCs w:val="22"/>
        </w:rPr>
        <w:t xml:space="preserve">Para instituciones privadas, el módulo de campeonatos se monetiza a través de una tarifa fija por torneo organizado —entre S/ 150 y S/ 600 según el número de equipos y canchas involucradas— o, alternativamente, mediante una comisión de aproximadamente 6 % sobre las inscripciones cobradas digitalmente a través de la plataforma, a elección de la institución organizadora.</w:t>
      </w:r>
    </w:p>
    <w:p>
      <w:pPr>
        <w:spacing w:after="160" w:line="264" w:lineRule="auto"/>
        <w:ind w:firstLine="720"/>
        <w:jc w:val="left"/>
      </w:pPr>
      <w:r>
        <w:rPr>
          <w:rFonts w:ascii="Times New Roman" w:cs="Times New Roman" w:eastAsia="Times New Roman" w:hAnsi="Times New Roman"/>
          <w:sz w:val="22"/>
          <w:szCs w:val="22"/>
        </w:rPr>
        <w:t xml:space="preserve">Para instituciones públicas (municipalidad del Cusco, colegios estatales, ligas distritales), se contempla un esquema de convenio anual con tarifas preferenciales, reconociendo tanto sus restricciones presupuestarias como el valor estratégico de que la plataforma se convierta en la herramienta oficial de gestión deportiva institucional del Cusco, lo que a su vez genera un efecto de validación y visibilidad ante el resto del mercado.</w:t>
      </w:r>
    </w:p>
    <w:p>
      <w:pPr>
        <w:pStyle w:val="Heading2"/>
        <w:spacing w:after="160" w:before="300"/>
        <w:jc w:val="left"/>
      </w:pPr>
      <w:r>
        <w:rPr>
          <w:rFonts w:ascii="Times New Roman" w:cs="Times New Roman" w:eastAsia="Times New Roman" w:hAnsi="Times New Roman"/>
          <w:b/>
          <w:bCs/>
          <w:color w:val="12314F"/>
          <w:sz w:val="25"/>
          <w:szCs w:val="25"/>
        </w:rPr>
        <w:t xml:space="preserve">8.4 Publicidad y Patrocinios</w:t>
      </w:r>
    </w:p>
    <w:p>
      <w:pPr>
        <w:spacing w:after="160" w:line="264" w:lineRule="auto"/>
        <w:ind w:firstLine="720"/>
        <w:jc w:val="left"/>
      </w:pPr>
      <w:r>
        <w:rPr>
          <w:rFonts w:ascii="Times New Roman" w:cs="Times New Roman" w:eastAsia="Times New Roman" w:hAnsi="Times New Roman"/>
          <w:sz w:val="22"/>
          <w:szCs w:val="22"/>
        </w:rPr>
        <w:t xml:space="preserve">Como fuente de ingreso complementaria —de menor peso relativo durante los primeros años, pero con potencial de crecimiento conforme aumenta la base de usuarios activos—, la plataforma ofrecerá espacios publicitarios destacados a marcas deportivas, tiendas de implementos, gimnasios y otros negocios relacionados con el estilo de vida activo, tanto en la aplicación de deportistas como en las páginas públicas de campeonatos.</w:t>
      </w:r>
    </w:p>
    <w:p>
      <w:pPr>
        <w:pStyle w:val="Heading2"/>
        <w:spacing w:after="160" w:before="300"/>
        <w:jc w:val="left"/>
      </w:pPr>
      <w:r>
        <w:rPr>
          <w:rFonts w:ascii="Times New Roman" w:cs="Times New Roman" w:eastAsia="Times New Roman" w:hAnsi="Times New Roman"/>
          <w:b/>
          <w:bCs/>
          <w:color w:val="12314F"/>
          <w:sz w:val="25"/>
          <w:szCs w:val="25"/>
        </w:rPr>
        <w:t xml:space="preserve">8.5 Resumen de la Mezcla de Ingresos</w:t>
      </w:r>
    </w:p>
    <w:p>
      <w:pPr>
        <w:spacing w:after="160" w:line="264" w:lineRule="auto"/>
        <w:ind w:firstLine="720"/>
        <w:jc w:val="left"/>
      </w:pPr>
      <w:r>
        <w:rPr>
          <w:rFonts w:ascii="Times New Roman" w:cs="Times New Roman" w:eastAsia="Times New Roman" w:hAnsi="Times New Roman"/>
          <w:sz w:val="22"/>
          <w:szCs w:val="22"/>
        </w:rPr>
        <w:t xml:space="preserve">Durante el primer año de operación, se estima que la comisión por reserva concentrará la mayor parte de los ingresos de la plataforma, con una participación creciente de las suscripciones, el módulo de campeonatos y la publicidad conforme la base de centros deportivos y usuarios madura. El detalle cuantitativo de esta mezcla se presenta en la sección 10.3.</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9. Plan de Inversión</w:t>
      </w:r>
    </w:p>
    <w:p>
      <w:pPr>
        <w:pStyle w:val="Heading2"/>
        <w:spacing w:after="160" w:before="300"/>
        <w:jc w:val="left"/>
      </w:pPr>
      <w:r>
        <w:rPr>
          <w:rFonts w:ascii="Times New Roman" w:cs="Times New Roman" w:eastAsia="Times New Roman" w:hAnsi="Times New Roman"/>
          <w:b/>
          <w:bCs/>
          <w:color w:val="12314F"/>
          <w:sz w:val="25"/>
          <w:szCs w:val="25"/>
        </w:rPr>
        <w:t xml:space="preserve">9.1 Estructura Legal y Constitución de la Empresa</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Se recomienda constituir KanchaYA como una </w:t>
      </w:r>
      <w:r>
        <w:rPr>
          <w:rFonts w:ascii="Times New Roman" w:cs="Times New Roman" w:eastAsia="Times New Roman" w:hAnsi="Times New Roman"/>
          <w:b/>
          <w:bCs/>
          <w:i w:val="false"/>
          <w:iCs w:val="false"/>
          <w:sz w:val="22"/>
          <w:szCs w:val="22"/>
        </w:rPr>
        <w:t xml:space="preserve">Sociedad Anónima Cerrada (SAC)</w:t>
      </w:r>
      <w:r>
        <w:rPr>
          <w:rFonts w:ascii="Times New Roman" w:cs="Times New Roman" w:eastAsia="Times New Roman" w:hAnsi="Times New Roman"/>
          <w:b w:val="false"/>
          <w:bCs w:val="false"/>
          <w:i w:val="false"/>
          <w:iCs w:val="false"/>
          <w:sz w:val="22"/>
          <w:szCs w:val="22"/>
        </w:rPr>
        <w:t xml:space="preserve">, la forma societaria más utilizada en el Perú para empresas con más de un socio fundador y con planes de incorporar inversionistas externos, al representar más del 70 % de las nuevas constituciones societarias registradas en el país </w:t>
      </w:r>
      <w:r>
        <w:rPr>
          <w:rFonts w:ascii="Times New Roman" w:cs="Times New Roman" w:eastAsia="Times New Roman" w:hAnsi="Times New Roman"/>
          <w:b w:val="false"/>
          <w:bCs w:val="false"/>
          <w:i w:val="false"/>
          <w:iCs w:val="false"/>
          <w:sz w:val="22"/>
          <w:szCs w:val="22"/>
        </w:rPr>
        <w:t xml:space="preserve">(TrámitesPerú, 2026)</w:t>
      </w:r>
      <w:r>
        <w:rPr>
          <w:rFonts w:ascii="Times New Roman" w:cs="Times New Roman" w:eastAsia="Times New Roman" w:hAnsi="Times New Roman"/>
          <w:b w:val="false"/>
          <w:bCs w:val="false"/>
          <w:i w:val="false"/>
          <w:iCs w:val="false"/>
          <w:sz w:val="22"/>
          <w:szCs w:val="22"/>
        </w:rPr>
        <w:t xml:space="preserve">. La vía digital a través del Sistema de Intermediación Digital de SUNARP (SID-SUNARP) permite constituir la empresa en un plazo de 24 a 72 horas por un costo aproximado de entre S/ 500 y S/ 1,500, sin necesidad de un capital social mínimo obligatorio </w:t>
      </w:r>
      <w:r>
        <w:rPr>
          <w:rFonts w:ascii="Times New Roman" w:cs="Times New Roman" w:eastAsia="Times New Roman" w:hAnsi="Times New Roman"/>
          <w:b w:val="false"/>
          <w:bCs w:val="false"/>
          <w:i w:val="false"/>
          <w:iCs w:val="false"/>
          <w:sz w:val="22"/>
          <w:szCs w:val="22"/>
        </w:rPr>
        <w:t xml:space="preserve">(TrámitesPerú, 2026)</w:t>
      </w:r>
      <w:r>
        <w:rPr>
          <w:rFonts w:ascii="Times New Roman" w:cs="Times New Roman" w:eastAsia="Times New Roman" w:hAnsi="Times New Roman"/>
          <w:b w:val="false"/>
          <w:bCs w:val="false"/>
          <w:i w:val="false"/>
          <w:iCs w:val="false"/>
          <w:sz w:val="22"/>
          <w:szCs w:val="22"/>
        </w:rPr>
        <w:t xml:space="preserve">. Una vez inscrita la sociedad, la obtención del Registro Único de Contribuyentes (RUC) ante la SUNAT es gratuita.</w:t>
      </w:r>
    </w:p>
    <w:p>
      <w:pPr>
        <w:spacing w:after="160" w:line="264" w:lineRule="auto"/>
        <w:ind w:firstLine="720"/>
        <w:jc w:val="left"/>
      </w:pPr>
      <w:r>
        <w:rPr>
          <w:rFonts w:ascii="Times New Roman" w:cs="Times New Roman" w:eastAsia="Times New Roman" w:hAnsi="Times New Roman"/>
          <w:sz w:val="22"/>
          <w:szCs w:val="22"/>
        </w:rPr>
        <w:t xml:space="preserve">Se recomienda, asimismo, la inscripción de la marca "KanchaYA" ante el Instituto Nacional de Defensa de la Competencia y de la Protección de la Propiedad Intelectual (INDECOPI) durante la fase fundacional, como medida de protección del activo de marca frente a réplicas.</w:t>
      </w:r>
    </w:p>
    <w:p>
      <w:pPr>
        <w:pStyle w:val="Heading2"/>
        <w:spacing w:after="160" w:before="300"/>
        <w:jc w:val="left"/>
      </w:pPr>
      <w:r>
        <w:rPr>
          <w:rFonts w:ascii="Times New Roman" w:cs="Times New Roman" w:eastAsia="Times New Roman" w:hAnsi="Times New Roman"/>
          <w:b/>
          <w:bCs/>
          <w:color w:val="12314F"/>
          <w:sz w:val="25"/>
          <w:szCs w:val="25"/>
        </w:rPr>
        <w:t xml:space="preserve">9.2 Inversión Inicial Requerida (CAPEX)</w:t>
      </w:r>
    </w:p>
    <w:p>
      <w:pPr>
        <w:spacing w:after="160" w:line="264" w:lineRule="auto"/>
        <w:ind w:firstLine="720"/>
        <w:jc w:val="left"/>
      </w:pPr>
      <w:r>
        <w:rPr>
          <w:rFonts w:ascii="Times New Roman" w:cs="Times New Roman" w:eastAsia="Times New Roman" w:hAnsi="Times New Roman"/>
          <w:sz w:val="22"/>
          <w:szCs w:val="22"/>
        </w:rPr>
        <w:t xml:space="preserve">La inversión de capital inicial —correspondiente a la Fase 0 y a los primeros meses de la Fase 1 del alcance del proyecto— se estima en S/ 260,000, distribuida de la siguiente manera:</w:t>
      </w:r>
    </w:p>
    <w:p>
      <w:pPr>
        <w:spacing w:after="100"/>
        <w:jc w:val="left"/>
      </w:pPr>
      <w:r>
        <w:rPr>
          <w:rFonts w:ascii="Times New Roman" w:cs="Times New Roman" w:eastAsia="Times New Roman" w:hAnsi="Times New Roman"/>
          <w:i/>
          <w:iCs/>
          <w:sz w:val="20"/>
          <w:szCs w:val="20"/>
        </w:rPr>
        <w:t xml:space="preserve">Tabla 8. Desglose de la inversión inicial (CAPEX)</w:t>
      </w:r>
    </w:p>
    <w:tbl>
      <w:tblPr>
        <w:tblW w:type="dxa" w:w="9300"/>
        <w:tblBorders>
          <w:top w:val="single" w:color="AAB4BF" w:sz="4"/>
          <w:left w:val="single" w:color="AAB4BF" w:sz="4"/>
          <w:bottom w:val="single" w:color="AAB4BF" w:sz="4"/>
          <w:right w:val="single" w:color="AAB4BF" w:sz="4"/>
          <w:insideH w:val="single" w:color="D3D9E0" w:sz="2"/>
          <w:insideV w:val="single" w:color="D3D9E0" w:sz="2"/>
        </w:tblBorders>
      </w:tblPr>
      <w:tblGrid>
        <w:gridCol w:w="4900"/>
        <w:gridCol w:w="2200"/>
        <w:gridCol w:w="2200"/>
      </w:tblGrid>
      <w:tr>
        <w:trPr>
          <w:tblHeader/>
        </w:trPr>
        <w:tc>
          <w:tcPr>
            <w:tcW w:type="dxa" w:w="4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Concepto</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Monto (S/)</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 del total</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1A1A1A"/>
                <w:sz w:val="19"/>
                <w:szCs w:val="19"/>
              </w:rPr>
              <w:t xml:space="preserve">Desarrollo del MVP (app móvil, web, backend, panel administrativo)</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190,000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73.1 %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1A1A1A"/>
                <w:sz w:val="19"/>
                <w:szCs w:val="19"/>
              </w:rPr>
              <w:t xml:space="preserve">Diseño UX/UI y desarrollo de marca</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28,000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10.8 %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1A1A1A"/>
                <w:sz w:val="19"/>
                <w:szCs w:val="19"/>
              </w:rPr>
              <w:t xml:space="preserve">Equipos de cómputo y licencias de software</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22,000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8.5 %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1A1A1A"/>
                <w:sz w:val="19"/>
                <w:szCs w:val="19"/>
              </w:rPr>
              <w:t xml:space="preserve">Constitución legal, registro de marca y trámites iniciales</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20,000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7.7 %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1A1A1A"/>
                <w:sz w:val="19"/>
                <w:szCs w:val="19"/>
              </w:rPr>
              <w:t xml:space="preserve">Total CAPEX</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260,000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b w:val="false"/>
                <w:bCs w:val="false"/>
                <w:color w:val="1A1A1A"/>
                <w:sz w:val="19"/>
                <w:szCs w:val="19"/>
              </w:rPr>
              <w:t xml:space="preserve">100 %</w:t>
            </w:r>
          </w:p>
        </w:tc>
      </w:tr>
    </w:tbl>
    <w:p>
      <w:pPr>
        <w:pStyle w:val="Heading2"/>
        <w:spacing w:after="160" w:before="300"/>
        <w:jc w:val="left"/>
      </w:pPr>
      <w:r>
        <w:rPr>
          <w:rFonts w:ascii="Times New Roman" w:cs="Times New Roman" w:eastAsia="Times New Roman" w:hAnsi="Times New Roman"/>
          <w:b/>
          <w:bCs/>
          <w:color w:val="12314F"/>
          <w:sz w:val="25"/>
          <w:szCs w:val="25"/>
        </w:rPr>
        <w:t xml:space="preserve">9.3 Gastos Operativos del Primer Año (OPEX)</w:t>
      </w:r>
    </w:p>
    <w:p>
      <w:pPr>
        <w:spacing w:after="160" w:line="264" w:lineRule="auto"/>
        <w:ind w:firstLine="720"/>
        <w:jc w:val="left"/>
      </w:pPr>
      <w:r>
        <w:rPr>
          <w:rFonts w:ascii="Times New Roman" w:cs="Times New Roman" w:eastAsia="Times New Roman" w:hAnsi="Times New Roman"/>
          <w:sz w:val="22"/>
          <w:szCs w:val="22"/>
        </w:rPr>
        <w:t xml:space="preserve">Adicionalmente a la inversión de capital, se proyecta un gasto operativo de S/ 690,000 durante los primeros doce meses de operación, correspondiente principalmente a planilla, marketing de lanzamiento e infraestructura:</w:t>
      </w:r>
    </w:p>
    <w:p>
      <w:pPr>
        <w:spacing w:after="100"/>
        <w:jc w:val="left"/>
      </w:pPr>
      <w:r>
        <w:rPr>
          <w:rFonts w:ascii="Times New Roman" w:cs="Times New Roman" w:eastAsia="Times New Roman" w:hAnsi="Times New Roman"/>
          <w:i/>
          <w:iCs/>
          <w:sz w:val="20"/>
          <w:szCs w:val="20"/>
        </w:rPr>
        <w:t xml:space="preserve">Tabla 9. Desglose de gastos operativos — Año 1 (OPEX)</w:t>
      </w:r>
    </w:p>
    <w:tbl>
      <w:tblPr>
        <w:tblW w:type="dxa" w:w="9300"/>
        <w:tblBorders>
          <w:top w:val="single" w:color="AAB4BF" w:sz="4"/>
          <w:left w:val="single" w:color="AAB4BF" w:sz="4"/>
          <w:bottom w:val="single" w:color="AAB4BF" w:sz="4"/>
          <w:right w:val="single" w:color="AAB4BF" w:sz="4"/>
          <w:insideH w:val="single" w:color="D3D9E0" w:sz="2"/>
          <w:insideV w:val="single" w:color="D3D9E0" w:sz="2"/>
        </w:tblBorders>
      </w:tblPr>
      <w:tblGrid>
        <w:gridCol w:w="4900"/>
        <w:gridCol w:w="2200"/>
        <w:gridCol w:w="2200"/>
      </w:tblGrid>
      <w:tr>
        <w:trPr>
          <w:tblHeader/>
        </w:trPr>
        <w:tc>
          <w:tcPr>
            <w:tcW w:type="dxa" w:w="4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Concepto</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Monto (S/)</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 del total</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Planilla y cargas sociales (equipo de 6 personas)</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430,000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62.3 %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Marketing digital y adquisición de usuarios y centros</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120,000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17.4 %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Infraestructura en la nube y herramientas SaaS</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50,000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7.2 %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Oficina, coworking y gastos administrativos</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45,000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6.5 %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Asesoría legal y cumplimiento normativo continuo</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20,000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2.9 %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Contingencia (imprevistos)</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25,000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3.6 %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Total OPEX Año 1</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690,000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100 %</w:t>
            </w:r>
          </w:p>
        </w:tc>
      </w:tr>
    </w:tbl>
    <w:p>
      <w:pPr>
        <w:spacing w:after="160" w:line="264" w:lineRule="auto"/>
        <w:ind w:firstLine="720"/>
        <w:jc w:val="left"/>
      </w:pPr>
      <w:r>
        <w:rPr>
          <w:rFonts w:ascii="Times New Roman" w:cs="Times New Roman" w:eastAsia="Times New Roman" w:hAnsi="Times New Roman"/>
          <w:sz w:val="22"/>
          <w:szCs w:val="22"/>
        </w:rPr>
        <w:t xml:space="preserve">El equipo inicial propuesto para el primer año contempla seis posiciones: fundador(a)/CEO, CTO o líder técnico, un(a) desarrollador(a) full-stack adicional, diseño UX/UI (a tiempo parcial o mediante retainer), una posición comercial encargada del onboarding de centros deportivos, y una posición combinada de soporte al cliente y marketing digital. La estructura organizacional se detalla en la sección 14.</w:t>
      </w:r>
    </w:p>
    <w:p>
      <w:pPr>
        <w:pStyle w:val="Heading2"/>
        <w:spacing w:after="160" w:before="300"/>
        <w:jc w:val="left"/>
      </w:pPr>
      <w:r>
        <w:rPr>
          <w:rFonts w:ascii="Times New Roman" w:cs="Times New Roman" w:eastAsia="Times New Roman" w:hAnsi="Times New Roman"/>
          <w:b/>
          <w:bCs/>
          <w:color w:val="12314F"/>
          <w:sz w:val="25"/>
          <w:szCs w:val="25"/>
        </w:rPr>
        <w:t xml:space="preserve">9.4 Monto Total de la Inversión Solicitada</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Sumando el CAPEX inicial y el OPEX del primer año, el monto total de la ronda de inversión semilla solicitada asciende a </w:t>
      </w:r>
      <w:r>
        <w:rPr>
          <w:rFonts w:ascii="Times New Roman" w:cs="Times New Roman" w:eastAsia="Times New Roman" w:hAnsi="Times New Roman"/>
          <w:b/>
          <w:bCs/>
          <w:i w:val="false"/>
          <w:iCs w:val="false"/>
          <w:sz w:val="22"/>
          <w:szCs w:val="22"/>
        </w:rPr>
        <w:t xml:space="preserve">S/ 950,000 (aproximadamente USD 281,000</w:t>
      </w:r>
      <w:r>
        <w:rPr>
          <w:rFonts w:ascii="Times New Roman" w:cs="Times New Roman" w:eastAsia="Times New Roman" w:hAnsi="Times New Roman"/>
          <w:b w:val="false"/>
          <w:bCs w:val="false"/>
          <w:i w:val="false"/>
          <w:iCs w:val="false"/>
          <w:sz w:val="22"/>
          <w:szCs w:val="22"/>
        </w:rPr>
        <w:t xml:space="preserve"> al tipo de cambio referencial de S/ 3.38 por dólar). Este monto está diseñado para financiar a la empresa hasta el cierre del primer año de operación comercial en el Cusco, momento en el cual se espera contar con evidencia suficiente de tracción (centros afiliados, volumen de reservas, retención de usuarios) para levantar una ronda de expansión (Serie A) que financie el crecimiento hacia el Valle Sagrado y la posterior expansión regional descrita en las fases 3 y 4 del alcance del proyecto.</w:t>
      </w:r>
    </w:p>
    <w:p>
      <w:pPr>
        <w:pStyle w:val="Heading2"/>
        <w:spacing w:after="160" w:before="300"/>
        <w:jc w:val="left"/>
      </w:pPr>
      <w:r>
        <w:rPr>
          <w:rFonts w:ascii="Times New Roman" w:cs="Times New Roman" w:eastAsia="Times New Roman" w:hAnsi="Times New Roman"/>
          <w:b/>
          <w:bCs/>
          <w:color w:val="12314F"/>
          <w:sz w:val="25"/>
          <w:szCs w:val="25"/>
        </w:rPr>
        <w:t xml:space="preserve">9.5 Uso de Fondos</w:t>
      </w:r>
    </w:p>
    <w:p>
      <w:pPr>
        <w:spacing w:after="160" w:line="264" w:lineRule="auto"/>
        <w:ind w:firstLine="720"/>
        <w:jc w:val="left"/>
      </w:pPr>
      <w:r>
        <w:rPr>
          <w:rFonts w:ascii="Times New Roman" w:cs="Times New Roman" w:eastAsia="Times New Roman" w:hAnsi="Times New Roman"/>
          <w:sz w:val="22"/>
          <w:szCs w:val="22"/>
        </w:rPr>
        <w:t xml:space="preserve">El siguiente cuadro resume la distribución del uso de fondos entre inversión de capital (CAPEX) y gasto operativo del primer año (OPEX):</w:t>
      </w:r>
    </w:p>
    <w:p>
      <w:pPr>
        <w:spacing w:after="100"/>
        <w:jc w:val="left"/>
      </w:pPr>
      <w:r>
        <w:rPr>
          <w:rFonts w:ascii="Times New Roman" w:cs="Times New Roman" w:eastAsia="Times New Roman" w:hAnsi="Times New Roman"/>
          <w:i/>
          <w:iCs/>
          <w:sz w:val="20"/>
          <w:szCs w:val="20"/>
        </w:rPr>
        <w:t xml:space="preserve">Tabla 10. Uso de fondos de la ronda de inversión semilla</w:t>
      </w:r>
    </w:p>
    <w:tbl>
      <w:tblPr>
        <w:tblW w:type="dxa" w:w="9300"/>
        <w:tblBorders>
          <w:top w:val="single" w:color="AAB4BF" w:sz="4"/>
          <w:left w:val="single" w:color="AAB4BF" w:sz="4"/>
          <w:bottom w:val="single" w:color="AAB4BF" w:sz="4"/>
          <w:right w:val="single" w:color="AAB4BF" w:sz="4"/>
          <w:insideH w:val="single" w:color="D3D9E0" w:sz="2"/>
          <w:insideV w:val="single" w:color="D3D9E0" w:sz="2"/>
        </w:tblBorders>
      </w:tblPr>
      <w:tblGrid>
        <w:gridCol w:w="4900"/>
        <w:gridCol w:w="2200"/>
        <w:gridCol w:w="2200"/>
      </w:tblGrid>
      <w:tr>
        <w:trPr>
          <w:tblHeader/>
        </w:trPr>
        <w:tc>
          <w:tcPr>
            <w:tcW w:type="dxa" w:w="4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Categoría</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Monto (S/)</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 del total</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CAPEX — Desarrollo de producto y constitución legal</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260,000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27.4 %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OPEX — Planilla, marketing e infraestructura (Año 1)</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690,000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72.6 %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Total</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950,000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100 %</w:t>
            </w:r>
          </w:p>
        </w:tc>
      </w:tr>
    </w:tbl>
    <w:p>
      <w:pPr>
        <w:spacing w:after="200" w:before="40"/>
        <w:jc w:val="left"/>
      </w:pPr>
      <w:r>
        <w:rPr>
          <w:rFonts w:ascii="Times New Roman" w:cs="Times New Roman" w:eastAsia="Times New Roman" w:hAnsi="Times New Roman"/>
          <w:i/>
          <w:iCs/>
          <w:color w:val="5A6672"/>
          <w:sz w:val="18"/>
          <w:szCs w:val="18"/>
        </w:rPr>
        <w:t xml:space="preserve">Nota. Elaboración propia.</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10. Proyecciones Financieras y Rentabilidad</w:t>
      </w:r>
    </w:p>
    <w:p>
      <w:pPr>
        <w:spacing w:after="160" w:line="264" w:lineRule="auto"/>
        <w:ind w:firstLine="720"/>
        <w:jc w:val="left"/>
      </w:pPr>
      <w:r>
        <w:rPr>
          <w:rFonts w:ascii="Times New Roman" w:cs="Times New Roman" w:eastAsia="Times New Roman" w:hAnsi="Times New Roman"/>
          <w:sz w:val="22"/>
          <w:szCs w:val="22"/>
        </w:rPr>
        <w:t xml:space="preserve">Las proyecciones presentadas en esta sección constituyen estimaciones desarrolladas por el equipo fundador sobre la base de los supuestos de mercado descritos en la sección 4, los precios de referencia observados en el mercado cusqueño y los benchmarks de la industria citados a lo largo de este documento. Se presentan con fines de planificación y discusión, y deben ser validadas mediante el proceso de debida diligencia.</w:t>
      </w:r>
    </w:p>
    <w:p>
      <w:pPr>
        <w:pStyle w:val="Heading2"/>
        <w:spacing w:after="160" w:before="300"/>
        <w:jc w:val="left"/>
      </w:pPr>
      <w:r>
        <w:rPr>
          <w:rFonts w:ascii="Times New Roman" w:cs="Times New Roman" w:eastAsia="Times New Roman" w:hAnsi="Times New Roman"/>
          <w:b/>
          <w:bCs/>
          <w:color w:val="12314F"/>
          <w:sz w:val="25"/>
          <w:szCs w:val="25"/>
        </w:rPr>
        <w:t xml:space="preserve">10.1 Supuestos Financieros Principales</w:t>
      </w:r>
    </w:p>
    <w:p>
      <w:pPr>
        <w:spacing w:after="100"/>
        <w:jc w:val="left"/>
      </w:pPr>
      <w:r>
        <w:rPr>
          <w:rFonts w:ascii="Times New Roman" w:cs="Times New Roman" w:eastAsia="Times New Roman" w:hAnsi="Times New Roman"/>
          <w:i/>
          <w:iCs/>
          <w:sz w:val="20"/>
          <w:szCs w:val="20"/>
        </w:rPr>
        <w:t xml:space="preserve">Tabla 11. Principales supuestos utilizados en la proyección</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3800"/>
        <w:gridCol w:w="5700"/>
      </w:tblGrid>
      <w:tr>
        <w:trPr>
          <w:tblHeader/>
        </w:trPr>
        <w:tc>
          <w:tcPr>
            <w:tcW w:type="dxa" w:w="38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Supuesto</w:t>
            </w:r>
          </w:p>
        </w:tc>
        <w:tc>
          <w:tcPr>
            <w:tcW w:type="dxa" w:w="57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Valor utilizado</w:t>
            </w:r>
          </w:p>
        </w:tc>
      </w:tr>
      <w:tr>
        <w:tc>
          <w:tcPr>
            <w:tcW w:type="dxa" w:w="3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Ticket promedio por reserva</w:t>
            </w:r>
          </w:p>
        </w:tc>
        <w:tc>
          <w:tcPr>
            <w:tcW w:type="dxa" w:w="5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55 (dentro del rango de S/ 45 a S/ 85 observado en canchas sintéticas del Cusco)</w:t>
            </w:r>
          </w:p>
        </w:tc>
      </w:tr>
      <w:tr>
        <w:tc>
          <w:tcPr>
            <w:tcW w:type="dxa" w:w="3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Centros deportivos activos — Año 1 / Año 5</w:t>
            </w:r>
          </w:p>
        </w:tc>
        <w:tc>
          <w:tcPr>
            <w:tcW w:type="dxa" w:w="5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45 / 430 (multi-ciudad)</w:t>
            </w:r>
          </w:p>
        </w:tc>
      </w:tr>
      <w:tr>
        <w:tc>
          <w:tcPr>
            <w:tcW w:type="dxa" w:w="3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Comisión por reserva — Año 1 → Año 5</w:t>
            </w:r>
          </w:p>
        </w:tc>
        <w:tc>
          <w:tcPr>
            <w:tcW w:type="dxa" w:w="5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9 % → 13 %</w:t>
            </w:r>
          </w:p>
        </w:tc>
      </w:tr>
      <w:tr>
        <w:tc>
          <w:tcPr>
            <w:tcW w:type="dxa" w:w="3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Tipo de cambio referencial</w:t>
            </w:r>
          </w:p>
        </w:tc>
        <w:tc>
          <w:tcPr>
            <w:tcW w:type="dxa" w:w="5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3.38 por USD</w:t>
            </w:r>
          </w:p>
        </w:tc>
      </w:tr>
      <w:tr>
        <w:tc>
          <w:tcPr>
            <w:tcW w:type="dxa" w:w="3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Tasa de descuento utilizada (costo de capital)</w:t>
            </w:r>
          </w:p>
        </w:tc>
        <w:tc>
          <w:tcPr>
            <w:tcW w:type="dxa" w:w="57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29 % anual (refleja el perfil de riesgo de una inversión de etapa semilla en un mercado emergente)</w:t>
            </w:r>
          </w:p>
        </w:tc>
      </w:tr>
      <w:tr>
        <w:tc>
          <w:tcPr>
            <w:tcW w:type="dxa" w:w="3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Horizonte explícito de la proyección</w:t>
            </w:r>
          </w:p>
        </w:tc>
        <w:tc>
          <w:tcPr>
            <w:tcW w:type="dxa" w:w="57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5 años (2027–2031)</w:t>
            </w:r>
          </w:p>
        </w:tc>
      </w:tr>
    </w:tbl>
    <w:p>
      <w:pPr>
        <w:pStyle w:val="Heading2"/>
        <w:spacing w:after="160" w:before="300"/>
        <w:jc w:val="left"/>
      </w:pPr>
      <w:r>
        <w:rPr>
          <w:rFonts w:ascii="Times New Roman" w:cs="Times New Roman" w:eastAsia="Times New Roman" w:hAnsi="Times New Roman"/>
          <w:b/>
          <w:bCs/>
          <w:color w:val="12314F"/>
          <w:sz w:val="25"/>
          <w:szCs w:val="25"/>
        </w:rPr>
        <w:t xml:space="preserve">10.2 Proyección de GMV e Ingresos a 5 Años</w:t>
      </w:r>
    </w:p>
    <w:p>
      <w:pPr>
        <w:spacing w:after="160" w:line="264" w:lineRule="auto"/>
        <w:ind w:firstLine="720"/>
        <w:jc w:val="left"/>
      </w:pPr>
      <w:r>
        <w:rPr>
          <w:rFonts w:ascii="Times New Roman" w:cs="Times New Roman" w:eastAsia="Times New Roman" w:hAnsi="Times New Roman"/>
          <w:sz w:val="22"/>
          <w:szCs w:val="22"/>
        </w:rPr>
        <w:t xml:space="preserve">El valor bruto transaccionado (GMV, por sus siglas en inglés) mide el total de reservas y pagos procesados a través de la plataforma, mientras que los "ingresos de la plataforma" corresponden a la porción de ese GMV que KanchaYA retiene como comisión, más los ingresos por suscripciones, campeonatos y publicidad.</w:t>
      </w:r>
    </w:p>
    <w:p>
      <w:pPr>
        <w:spacing w:after="80" w:before="12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124200"/>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4</w:t>
      </w:r>
      <w:r>
        <w:rPr>
          <w:rFonts w:ascii="Times New Roman" w:cs="Times New Roman" w:eastAsia="Times New Roman" w:hAnsi="Times New Roman"/>
          <w:i/>
          <w:iCs/>
          <w:sz w:val="20"/>
          <w:szCs w:val="20"/>
        </w:rPr>
        <w:t xml:space="preserve">. Proyección de GMV e ingresos de la plataforma (Años 1 a 5).</w:t>
      </w:r>
    </w:p>
    <w:p>
      <w:pPr>
        <w:spacing w:after="200" w:before="40"/>
        <w:jc w:val="left"/>
      </w:pPr>
      <w:r>
        <w:rPr>
          <w:rFonts w:ascii="Times New Roman" w:cs="Times New Roman" w:eastAsia="Times New Roman" w:hAnsi="Times New Roman"/>
          <w:i/>
          <w:iCs/>
          <w:color w:val="5A6672"/>
          <w:sz w:val="18"/>
          <w:szCs w:val="18"/>
        </w:rPr>
        <w:t xml:space="preserve">Nota. Elaboración propia.</w:t>
      </w:r>
    </w:p>
    <w:p>
      <w:pPr>
        <w:pStyle w:val="Heading2"/>
        <w:spacing w:after="160" w:before="300"/>
        <w:jc w:val="left"/>
      </w:pPr>
      <w:r>
        <w:rPr>
          <w:rFonts w:ascii="Times New Roman" w:cs="Times New Roman" w:eastAsia="Times New Roman" w:hAnsi="Times New Roman"/>
          <w:b/>
          <w:bCs/>
          <w:color w:val="12314F"/>
          <w:sz w:val="25"/>
          <w:szCs w:val="25"/>
        </w:rPr>
        <w:t xml:space="preserve">10.3 Composición de los Ingresos — Año 1</w:t>
      </w:r>
    </w:p>
    <w:p>
      <w:pPr>
        <w:spacing w:after="160" w:line="264" w:lineRule="auto"/>
        <w:ind w:firstLine="720"/>
        <w:jc w:val="left"/>
      </w:pPr>
      <w:r>
        <w:rPr>
          <w:rFonts w:ascii="Times New Roman" w:cs="Times New Roman" w:eastAsia="Times New Roman" w:hAnsi="Times New Roman"/>
          <w:sz w:val="22"/>
          <w:szCs w:val="22"/>
        </w:rPr>
        <w:t xml:space="preserve">Para el primer año de operación, la mezcla de ingresos proyectada se desagrega de la siguiente manera:</w:t>
      </w:r>
    </w:p>
    <w:p>
      <w:pPr>
        <w:spacing w:after="100"/>
        <w:jc w:val="left"/>
      </w:pPr>
      <w:r>
        <w:rPr>
          <w:rFonts w:ascii="Times New Roman" w:cs="Times New Roman" w:eastAsia="Times New Roman" w:hAnsi="Times New Roman"/>
          <w:i/>
          <w:iCs/>
          <w:sz w:val="20"/>
          <w:szCs w:val="20"/>
        </w:rPr>
        <w:t xml:space="preserve">Tabla 12. Composición de ingresos — Año 1</w:t>
      </w:r>
    </w:p>
    <w:tbl>
      <w:tblPr>
        <w:tblW w:type="dxa" w:w="9300"/>
        <w:tblBorders>
          <w:top w:val="single" w:color="AAB4BF" w:sz="4"/>
          <w:left w:val="single" w:color="AAB4BF" w:sz="4"/>
          <w:bottom w:val="single" w:color="AAB4BF" w:sz="4"/>
          <w:right w:val="single" w:color="AAB4BF" w:sz="4"/>
          <w:insideH w:val="single" w:color="D3D9E0" w:sz="2"/>
          <w:insideV w:val="single" w:color="D3D9E0" w:sz="2"/>
        </w:tblBorders>
      </w:tblPr>
      <w:tblGrid>
        <w:gridCol w:w="4900"/>
        <w:gridCol w:w="2200"/>
        <w:gridCol w:w="2200"/>
      </w:tblGrid>
      <w:tr>
        <w:trPr>
          <w:tblHeader/>
        </w:trPr>
        <w:tc>
          <w:tcPr>
            <w:tcW w:type="dxa" w:w="4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Fuente de ingreso</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Monto (S/)</w:t>
            </w:r>
          </w:p>
        </w:tc>
        <w:tc>
          <w:tcPr>
            <w:tcW w:type="dxa" w:w="2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 del total</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Comisión por reserva (9 % sobre GMV de S/ 3.8 M)</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342,000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71.3 %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Suscripciones (planes Pro y Premium)</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48,000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10.0 %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Módulo de campeonatos</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70,000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14.6 %</w:t>
            </w:r>
          </w:p>
        </w:tc>
      </w:tr>
      <w:tr>
        <w:tc>
          <w:tcPr>
            <w:tcW w:type="dxa" w:w="4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Publicidad y patrocinios</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20,000</w:t>
            </w:r>
          </w:p>
        </w:tc>
        <w:tc>
          <w:tcPr>
            <w:tcW w:type="dxa" w:w="2200"/>
            <w:shd w:fill="F2F5F8" w:val="clear"/>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4.2 %</w:t>
            </w:r>
          </w:p>
        </w:tc>
      </w:tr>
      <w:tr>
        <w:tc>
          <w:tcPr>
            <w:tcW w:type="dxa" w:w="4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Total ingresos Año 1</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480,000</w:t>
            </w:r>
          </w:p>
        </w:tc>
        <w:tc>
          <w:tcPr>
            <w:tcW w:type="dxa" w:w="2200"/>
            <w:tcMar>
              <w:top w:type="dxa" w:w="90"/>
              <w:left w:type="dxa" w:w="110"/>
              <w:bottom w:type="dxa" w:w="90"/>
              <w:right w:type="dxa" w:w="110"/>
            </w:tcMar>
            <w:vAlign w:val="center"/>
          </w:tcPr>
          <w:p>
            <w:pPr>
              <w:jc w:val="right"/>
            </w:pPr>
            <w:r>
              <w:rPr>
                <w:rFonts w:ascii="Times New Roman" w:cs="Times New Roman" w:eastAsia="Times New Roman" w:hAnsi="Times New Roman"/>
                <w:color w:val="1A1A1A"/>
                <w:sz w:val="19"/>
                <w:szCs w:val="19"/>
              </w:rPr>
              <w:t xml:space="preserve">100 %</w:t>
            </w:r>
          </w:p>
        </w:tc>
      </w:tr>
    </w:tbl>
    <w:p>
      <w:pPr>
        <w:spacing w:after="160" w:line="264" w:lineRule="auto"/>
        <w:ind w:firstLine="720"/>
        <w:jc w:val="left"/>
      </w:pPr>
      <w:r>
        <w:rPr>
          <w:rFonts w:ascii="Times New Roman" w:cs="Times New Roman" w:eastAsia="Times New Roman" w:hAnsi="Times New Roman"/>
          <w:sz w:val="22"/>
          <w:szCs w:val="22"/>
        </w:rPr>
        <w:t xml:space="preserve">Se proyecta que esta mezcla evolucione hacia una mayor participación relativa de las suscripciones, el módulo de campeonatos y la publicidad conforme la plataforma madura, si bien la comisión por reserva se mantendrá como la fuente de ingreso predominante a lo largo del horizonte de proyección.</w:t>
      </w:r>
    </w:p>
    <w:p>
      <w:pPr>
        <w:pStyle w:val="Heading2"/>
        <w:spacing w:after="160" w:before="300"/>
        <w:jc w:val="left"/>
      </w:pPr>
      <w:r>
        <w:rPr>
          <w:rFonts w:ascii="Times New Roman" w:cs="Times New Roman" w:eastAsia="Times New Roman" w:hAnsi="Times New Roman"/>
          <w:b/>
          <w:bCs/>
          <w:color w:val="12314F"/>
          <w:sz w:val="25"/>
          <w:szCs w:val="25"/>
        </w:rPr>
        <w:t xml:space="preserve">10.4 Estado de Resultados Proyectado (Resumen)</w:t>
      </w:r>
    </w:p>
    <w:p>
      <w:pPr>
        <w:spacing w:after="100"/>
        <w:jc w:val="left"/>
      </w:pPr>
      <w:r>
        <w:rPr>
          <w:rFonts w:ascii="Times New Roman" w:cs="Times New Roman" w:eastAsia="Times New Roman" w:hAnsi="Times New Roman"/>
          <w:i/>
          <w:iCs/>
          <w:sz w:val="20"/>
          <w:szCs w:val="20"/>
        </w:rPr>
        <w:t xml:space="preserve">Tabla 13. Estado de resultados resumido, Años 1 a 5 (en miles de soles)</w:t>
      </w:r>
    </w:p>
    <w:tbl>
      <w:tblPr>
        <w:tblW w:type="dxa" w:w="9100"/>
        <w:tblBorders>
          <w:top w:val="single" w:color="AAB4BF" w:sz="4"/>
          <w:left w:val="single" w:color="AAB4BF" w:sz="4"/>
          <w:bottom w:val="single" w:color="AAB4BF" w:sz="4"/>
          <w:right w:val="single" w:color="AAB4BF" w:sz="4"/>
          <w:insideH w:val="single" w:color="D3D9E0" w:sz="2"/>
          <w:insideV w:val="single" w:color="D3D9E0" w:sz="2"/>
        </w:tblBorders>
      </w:tblPr>
      <w:tblGrid>
        <w:gridCol w:w="2600"/>
        <w:gridCol w:w="1300"/>
        <w:gridCol w:w="1300"/>
        <w:gridCol w:w="1300"/>
        <w:gridCol w:w="1300"/>
        <w:gridCol w:w="1300"/>
      </w:tblGrid>
      <w:tr>
        <w:trPr>
          <w:tblHeader/>
        </w:trPr>
        <w:tc>
          <w:tcPr>
            <w:tcW w:type="dxa" w:w="26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Concepto</w:t>
            </w:r>
          </w:p>
        </w:tc>
        <w:tc>
          <w:tcPr>
            <w:tcW w:type="dxa" w:w="1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1</w:t>
            </w:r>
          </w:p>
        </w:tc>
        <w:tc>
          <w:tcPr>
            <w:tcW w:type="dxa" w:w="1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2</w:t>
            </w:r>
          </w:p>
        </w:tc>
        <w:tc>
          <w:tcPr>
            <w:tcW w:type="dxa" w:w="1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3</w:t>
            </w:r>
          </w:p>
        </w:tc>
        <w:tc>
          <w:tcPr>
            <w:tcW w:type="dxa" w:w="1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4</w:t>
            </w:r>
          </w:p>
        </w:tc>
        <w:tc>
          <w:tcPr>
            <w:tcW w:type="dxa" w:w="1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Año 5</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Ingresos totales</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480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1,100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2,360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4,280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7,030</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Costos y gastos totales</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950</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1,350</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2,050</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3,300</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5,100</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Resultado neto</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-470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-250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310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980</w:t>
            </w:r>
          </w:p>
        </w:tc>
        <w:tc>
          <w:tcPr>
            <w:tcW w:type="dxa" w:w="13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1,930</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Margen neto (%)</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n.a.</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n.a.</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13.1 %</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22.9 %</w:t>
            </w:r>
          </w:p>
        </w:tc>
        <w:tc>
          <w:tcPr>
            <w:tcW w:type="dxa" w:w="13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27.5 %</w:t>
            </w:r>
          </w:p>
        </w:tc>
      </w:tr>
    </w:tbl>
    <w:p>
      <w:pPr>
        <w:spacing w:after="200" w:before="40"/>
        <w:jc w:val="left"/>
      </w:pPr>
      <w:r>
        <w:rPr>
          <w:rFonts w:ascii="Times New Roman" w:cs="Times New Roman" w:eastAsia="Times New Roman" w:hAnsi="Times New Roman"/>
          <w:i/>
          <w:iCs/>
          <w:color w:val="5A6672"/>
          <w:sz w:val="18"/>
          <w:szCs w:val="18"/>
        </w:rPr>
        <w:t xml:space="preserve">Nota. Elaboración propia. n.a. = no aplica (resultado neto negativo).</w:t>
      </w:r>
    </w:p>
    <w:p>
      <w:pPr>
        <w:pStyle w:val="Heading2"/>
        <w:spacing w:after="160" w:before="300"/>
        <w:jc w:val="left"/>
      </w:pPr>
      <w:r>
        <w:rPr>
          <w:rFonts w:ascii="Times New Roman" w:cs="Times New Roman" w:eastAsia="Times New Roman" w:hAnsi="Times New Roman"/>
          <w:b/>
          <w:bCs/>
          <w:color w:val="12314F"/>
          <w:sz w:val="25"/>
          <w:szCs w:val="25"/>
        </w:rPr>
        <w:t xml:space="preserve">10.5 Punto de Equilibrio</w:t>
      </w:r>
    </w:p>
    <w:p>
      <w:pPr>
        <w:spacing w:after="160" w:line="264" w:lineRule="auto"/>
        <w:ind w:firstLine="720"/>
        <w:jc w:val="left"/>
      </w:pPr>
      <w:r>
        <w:rPr>
          <w:rFonts w:ascii="Times New Roman" w:cs="Times New Roman" w:eastAsia="Times New Roman" w:hAnsi="Times New Roman"/>
          <w:sz w:val="22"/>
          <w:szCs w:val="22"/>
        </w:rPr>
        <w:t xml:space="preserve">Sobre la base de los supuestos anteriores, la empresa alcanza el punto de equilibrio operativo (resultado neto positivo) durante el Año 3, una vez que la base de centros deportivos e ingresos por campeonatos alcanza una masa crítica suficiente para cubrir la estructura de costos fija de la operación multi-ciudad.</w:t>
      </w:r>
    </w:p>
    <w:p>
      <w:pPr>
        <w:spacing w:after="80" w:before="12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00375"/>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5</w:t>
      </w:r>
      <w:r>
        <w:rPr>
          <w:rFonts w:ascii="Times New Roman" w:cs="Times New Roman" w:eastAsia="Times New Roman" w:hAnsi="Times New Roman"/>
          <w:i/>
          <w:iCs/>
          <w:sz w:val="20"/>
          <w:szCs w:val="20"/>
        </w:rPr>
        <w:t xml:space="preserve">. Resultado neto anual proyectado y punto de equilibrio.</w:t>
      </w:r>
    </w:p>
    <w:p>
      <w:pPr>
        <w:spacing w:after="200" w:before="40"/>
        <w:jc w:val="left"/>
      </w:pPr>
      <w:r>
        <w:rPr>
          <w:rFonts w:ascii="Times New Roman" w:cs="Times New Roman" w:eastAsia="Times New Roman" w:hAnsi="Times New Roman"/>
          <w:i/>
          <w:iCs/>
          <w:color w:val="5A6672"/>
          <w:sz w:val="18"/>
          <w:szCs w:val="18"/>
        </w:rPr>
        <w:t xml:space="preserve">Nota. Elaboración propia.</w:t>
      </w:r>
    </w:p>
    <w:p>
      <w:pPr>
        <w:pStyle w:val="Heading2"/>
        <w:spacing w:after="160" w:before="300"/>
        <w:jc w:val="left"/>
      </w:pPr>
      <w:r>
        <w:rPr>
          <w:rFonts w:ascii="Times New Roman" w:cs="Times New Roman" w:eastAsia="Times New Roman" w:hAnsi="Times New Roman"/>
          <w:b/>
          <w:bCs/>
          <w:color w:val="12314F"/>
          <w:sz w:val="25"/>
          <w:szCs w:val="25"/>
        </w:rPr>
        <w:t xml:space="preserve">10.6 Indicadores Financieros del Proyecto</w:t>
      </w:r>
    </w:p>
    <w:p>
      <w:pPr>
        <w:spacing w:after="160" w:line="264" w:lineRule="auto"/>
        <w:ind w:firstLine="720"/>
        <w:jc w:val="left"/>
      </w:pPr>
      <w:r>
        <w:rPr>
          <w:rFonts w:ascii="Times New Roman" w:cs="Times New Roman" w:eastAsia="Times New Roman" w:hAnsi="Times New Roman"/>
          <w:sz w:val="22"/>
          <w:szCs w:val="22"/>
        </w:rPr>
        <w:t xml:space="preserve">Tomando como flujo de caja del proyecto la inversión inicial (Año 0) y el resultado neto anual proyectado como aproximación del flujo de caja libre de cada año, se obtienen los siguientes indicadores:</w:t>
      </w:r>
    </w:p>
    <w:p>
      <w:pPr>
        <w:spacing w:after="100"/>
        <w:jc w:val="left"/>
      </w:pPr>
      <w:r>
        <w:rPr>
          <w:rFonts w:ascii="Times New Roman" w:cs="Times New Roman" w:eastAsia="Times New Roman" w:hAnsi="Times New Roman"/>
          <w:i/>
          <w:iCs/>
          <w:sz w:val="20"/>
          <w:szCs w:val="20"/>
        </w:rPr>
        <w:t xml:space="preserve">Tabla 14. Indicadores financieros del proyecto</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5200"/>
        <w:gridCol w:w="4300"/>
      </w:tblGrid>
      <w:tr>
        <w:trPr>
          <w:tblHeader/>
        </w:trPr>
        <w:tc>
          <w:tcPr>
            <w:tcW w:type="dxa" w:w="5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Indicador</w:t>
            </w:r>
          </w:p>
        </w:tc>
        <w:tc>
          <w:tcPr>
            <w:tcW w:type="dxa" w:w="4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Valor estimado</w:t>
            </w:r>
          </w:p>
        </w:tc>
      </w:tr>
      <w:tr>
        <w:tc>
          <w:tcPr>
            <w:tcW w:type="dxa" w:w="52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Valor Actual Neto (VAN), a una tasa de descuento de 29 %</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 S/ 1,820,000 (positivo)</w:t>
            </w:r>
          </w:p>
        </w:tc>
      </w:tr>
      <w:tr>
        <w:tc>
          <w:tcPr>
            <w:tcW w:type="dxa" w:w="52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Tasa Interna de Retorno (TIR) del proyecto</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 44 % – 45 %</w:t>
            </w:r>
          </w:p>
        </w:tc>
      </w:tr>
      <w:tr>
        <w:tc>
          <w:tcPr>
            <w:tcW w:type="dxa" w:w="52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Periodo de recuperación de la inversión (payback simple)</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 4 años y 2 meses</w:t>
            </w:r>
          </w:p>
        </w:tc>
      </w:tr>
      <w:tr>
        <w:tc>
          <w:tcPr>
            <w:tcW w:type="dxa" w:w="52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Punto de equilibrio operativo</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Año 3</w:t>
            </w:r>
          </w:p>
        </w:tc>
      </w:tr>
    </w:tbl>
    <w:p>
      <w:pPr>
        <w:spacing w:after="160" w:line="264" w:lineRule="auto"/>
        <w:ind w:firstLine="720"/>
        <w:jc w:val="left"/>
      </w:pPr>
      <w:r>
        <w:rPr>
          <w:rFonts w:ascii="Times New Roman" w:cs="Times New Roman" w:eastAsia="Times New Roman" w:hAnsi="Times New Roman"/>
          <w:sz w:val="22"/>
          <w:szCs w:val="22"/>
        </w:rPr>
        <w:t xml:space="preserve">Un VAN positivo a una tasa de descuento exigente (29 %, coherente con el perfil de riesgo de una inversión de capital semilla en un mercado emergente) y una TIR proyectada por encima de esa tasa de descuento sugieren que, de cumplirse los supuestos de este plan, el proyecto genera valor económico para sus inversionistas. Estos indicadores deben interpretarse con la prudencia habitual de toda proyección financiera en etapa temprana, y están sujetos a la validación de los supuestos de adopción de mercado descritos en la sección 4.</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11. Valoración de la Empresa</w:t>
      </w:r>
    </w:p>
    <w:p>
      <w:pPr>
        <w:spacing w:after="160" w:line="264" w:lineRule="auto"/>
        <w:ind w:firstLine="720"/>
        <w:jc w:val="left"/>
      </w:pPr>
      <w:r>
        <w:rPr>
          <w:rFonts w:ascii="Times New Roman" w:cs="Times New Roman" w:eastAsia="Times New Roman" w:hAnsi="Times New Roman"/>
          <w:sz w:val="22"/>
          <w:szCs w:val="22"/>
        </w:rPr>
        <w:t xml:space="preserve">La valoración de una empresa en etapa semilla —previa a la generación de ingresos consolidados— combina necesariamente elementos cuantitativos y cualitativos. Para efectos de este plan, se triangulan tres metodologías comúnmente utilizadas en la valoración de startups en etapa temprana en mercados emergentes, con el objetivo de proponer un rango razonable de negociación con los representantes e inversionistas.</w:t>
      </w:r>
    </w:p>
    <w:p>
      <w:pPr>
        <w:pStyle w:val="Heading2"/>
        <w:spacing w:after="160" w:before="300"/>
        <w:jc w:val="left"/>
      </w:pPr>
      <w:r>
        <w:rPr>
          <w:rFonts w:ascii="Times New Roman" w:cs="Times New Roman" w:eastAsia="Times New Roman" w:hAnsi="Times New Roman"/>
          <w:b/>
          <w:bCs/>
          <w:color w:val="12314F"/>
          <w:sz w:val="25"/>
          <w:szCs w:val="25"/>
        </w:rPr>
        <w:t xml:space="preserve">11.1 Método 1: Scorecard / Comparables Regionales de Etapa Semilla</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Este método parte de valoraciones promedio observadas en rondas semilla comparables dentro del ecosistema emprendedor peruano y latinoamericano, ajustadas según factores cualitativos del equipo, el tamaño de mercado y el nivel de validación del producto. El ecosistema de capital emprendedor peruano, aunque en expansión, sigue siendo comparativamente pequeño: las startups peruanas captaron USD 47 millones en 2024 y se proyectaba superar los USD 50 millones en 2025 </w:t>
      </w:r>
      <w:r>
        <w:rPr>
          <w:rFonts w:ascii="Times New Roman" w:cs="Times New Roman" w:eastAsia="Times New Roman" w:hAnsi="Times New Roman"/>
          <w:b w:val="false"/>
          <w:bCs w:val="false"/>
          <w:i w:val="false"/>
          <w:iCs w:val="false"/>
          <w:sz w:val="22"/>
          <w:szCs w:val="22"/>
        </w:rPr>
        <w:t xml:space="preserve">(Revista Gana Más, 2025)</w:t>
      </w:r>
      <w:r>
        <w:rPr>
          <w:rFonts w:ascii="Times New Roman" w:cs="Times New Roman" w:eastAsia="Times New Roman" w:hAnsi="Times New Roman"/>
          <w:b w:val="false"/>
          <w:bCs w:val="false"/>
          <w:i w:val="false"/>
          <w:iCs w:val="false"/>
          <w:sz w:val="22"/>
          <w:szCs w:val="22"/>
        </w:rPr>
        <w:t xml:space="preserve">, con una brecha de financiamiento estructural que, según un diagnóstico conjunto de COFIDE y la Asociación Peruana de Capital Semilla y Emprendedor (PECAP), alcanzaría los USD 516 millones entre 2026 y 2030 </w:t>
      </w:r>
      <w:r>
        <w:rPr>
          <w:rFonts w:ascii="Times New Roman" w:cs="Times New Roman" w:eastAsia="Times New Roman" w:hAnsi="Times New Roman"/>
          <w:b w:val="false"/>
          <w:bCs w:val="false"/>
          <w:i w:val="false"/>
          <w:iCs w:val="false"/>
          <w:sz w:val="22"/>
          <w:szCs w:val="22"/>
        </w:rPr>
        <w:t xml:space="preserve">(Gestión, 2026)</w:t>
      </w:r>
      <w:r>
        <w:rPr>
          <w:rFonts w:ascii="Times New Roman" w:cs="Times New Roman" w:eastAsia="Times New Roman" w:hAnsi="Times New Roman"/>
          <w:b w:val="false"/>
          <w:bCs w:val="false"/>
          <w:i w:val="false"/>
          <w:iCs w:val="false"/>
          <w:sz w:val="22"/>
          <w:szCs w:val="22"/>
        </w:rPr>
        <w:t xml:space="preserve">. Este contexto sugiere valoraciones de entrada moderadas en comparación con ecosistemas más maduros de la región. Bajo este método, el rango de valoración pre-money razonable se estima entre </w:t>
      </w:r>
      <w:r>
        <w:rPr>
          <w:rFonts w:ascii="Times New Roman" w:cs="Times New Roman" w:eastAsia="Times New Roman" w:hAnsi="Times New Roman"/>
          <w:b w:val="false"/>
          <w:bCs w:val="false"/>
          <w:i w:val="false"/>
          <w:iCs w:val="false"/>
          <w:sz w:val="22"/>
          <w:szCs w:val="22"/>
        </w:rPr>
        <w:t xml:space="preserve">S/ 2,500,000 y S/ 3,200,000.</w:t>
      </w:r>
    </w:p>
    <w:p>
      <w:pPr>
        <w:pStyle w:val="Heading2"/>
        <w:spacing w:after="160" w:before="300"/>
        <w:jc w:val="left"/>
      </w:pPr>
      <w:r>
        <w:rPr>
          <w:rFonts w:ascii="Times New Roman" w:cs="Times New Roman" w:eastAsia="Times New Roman" w:hAnsi="Times New Roman"/>
          <w:b/>
          <w:bCs/>
          <w:color w:val="12314F"/>
          <w:sz w:val="25"/>
          <w:szCs w:val="25"/>
        </w:rPr>
        <w:t xml:space="preserve">11.2 Método 2: Múltiplo de Ingresos Proyectados</w:t>
      </w:r>
    </w:p>
    <w:p>
      <w:pPr>
        <w:spacing w:after="160" w:line="264" w:lineRule="auto"/>
        <w:ind w:firstLine="720"/>
        <w:jc w:val="left"/>
      </w:pPr>
      <w:r>
        <w:rPr>
          <w:rFonts w:ascii="Times New Roman" w:cs="Times New Roman" w:eastAsia="Times New Roman" w:hAnsi="Times New Roman"/>
          <w:sz w:val="22"/>
          <w:szCs w:val="22"/>
        </w:rPr>
        <w:t xml:space="preserve">Aplicando un múltiplo conservador de 3 veces los ingresos proyectados para el Año 2 (S/ 1,100,000) —múltiplo inferior al que suelen alcanzar plataformas SaaS y marketplace en etapas de mayor madurez, en reconocimiento del riesgo de ejecución propio de una empresa en etapa semilla—, se obtiene una valoración referencial de aproximadamente S/ 3,300,000.</w:t>
      </w:r>
    </w:p>
    <w:p>
      <w:pPr>
        <w:pStyle w:val="Heading2"/>
        <w:spacing w:after="160" w:before="300"/>
        <w:jc w:val="left"/>
      </w:pPr>
      <w:r>
        <w:rPr>
          <w:rFonts w:ascii="Times New Roman" w:cs="Times New Roman" w:eastAsia="Times New Roman" w:hAnsi="Times New Roman"/>
          <w:b/>
          <w:bCs/>
          <w:color w:val="12314F"/>
          <w:sz w:val="25"/>
          <w:szCs w:val="25"/>
        </w:rPr>
        <w:t xml:space="preserve">11.3 Método 3: Flujo de Caja Descontado (DCF)</w:t>
      </w:r>
    </w:p>
    <w:p>
      <w:pPr>
        <w:spacing w:after="160" w:line="264" w:lineRule="auto"/>
        <w:ind w:firstLine="720"/>
        <w:jc w:val="left"/>
      </w:pPr>
      <w:r>
        <w:rPr>
          <w:rFonts w:ascii="Times New Roman" w:cs="Times New Roman" w:eastAsia="Times New Roman" w:hAnsi="Times New Roman"/>
          <w:sz w:val="22"/>
          <w:szCs w:val="22"/>
        </w:rPr>
        <w:t xml:space="preserve">Descontando el flujo de caja proyectado para los cinco años del plan (utilizando el resultado neto anual como aproximación del flujo de caja libre) más un valor terminal calculado bajo el método de perpetuidad con una tasa de crecimiento a largo plazo del 4 % y una tasa de descuento del 29 %, se obtiene un valor de la empresa de aproximadamente S/ 2,800,000.</w:t>
      </w:r>
    </w:p>
    <w:p>
      <w:pPr>
        <w:pStyle w:val="Heading2"/>
        <w:spacing w:after="160" w:before="300"/>
        <w:jc w:val="left"/>
      </w:pPr>
      <w:r>
        <w:rPr>
          <w:rFonts w:ascii="Times New Roman" w:cs="Times New Roman" w:eastAsia="Times New Roman" w:hAnsi="Times New Roman"/>
          <w:b/>
          <w:bCs/>
          <w:color w:val="12314F"/>
          <w:sz w:val="25"/>
          <w:szCs w:val="25"/>
        </w:rPr>
        <w:t xml:space="preserve">11.4 Rango de Valoración Triangulado</w:t>
      </w:r>
    </w:p>
    <w:p>
      <w:pPr>
        <w:spacing w:after="100"/>
        <w:jc w:val="left"/>
      </w:pPr>
      <w:r>
        <w:rPr>
          <w:rFonts w:ascii="Times New Roman" w:cs="Times New Roman" w:eastAsia="Times New Roman" w:hAnsi="Times New Roman"/>
          <w:i/>
          <w:iCs/>
          <w:sz w:val="20"/>
          <w:szCs w:val="20"/>
        </w:rPr>
        <w:t xml:space="preserve">Tabla 15. Triangulación de metodologías de valoración</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5800"/>
        <w:gridCol w:w="3700"/>
      </w:tblGrid>
      <w:tr>
        <w:trPr>
          <w:tblHeader/>
        </w:trPr>
        <w:tc>
          <w:tcPr>
            <w:tcW w:type="dxa" w:w="58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Método</w:t>
            </w:r>
          </w:p>
        </w:tc>
        <w:tc>
          <w:tcPr>
            <w:tcW w:type="dxa" w:w="37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Valoración pre-money estimada (S/)</w:t>
            </w:r>
          </w:p>
        </w:tc>
      </w:tr>
      <w:tr>
        <w:tc>
          <w:tcPr>
            <w:tcW w:type="dxa" w:w="5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Scorecard / comparables regionales</w:t>
            </w:r>
          </w:p>
        </w:tc>
        <w:tc>
          <w:tcPr>
            <w:tcW w:type="dxa" w:w="37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2,500,000 – 3,200,000</w:t>
            </w:r>
          </w:p>
        </w:tc>
      </w:tr>
      <w:tr>
        <w:tc>
          <w:tcPr>
            <w:tcW w:type="dxa" w:w="5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Múltiplo de ingresos proyectados (Año 2)</w:t>
            </w:r>
          </w:p>
        </w:tc>
        <w:tc>
          <w:tcPr>
            <w:tcW w:type="dxa" w:w="37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 3,300,000</w:t>
            </w:r>
          </w:p>
        </w:tc>
      </w:tr>
      <w:tr>
        <w:tc>
          <w:tcPr>
            <w:tcW w:type="dxa" w:w="5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Flujo de caja descontado (DCF)</w:t>
            </w:r>
          </w:p>
        </w:tc>
        <w:tc>
          <w:tcPr>
            <w:tcW w:type="dxa" w:w="3700"/>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 2,800,000</w:t>
            </w:r>
          </w:p>
        </w:tc>
      </w:tr>
      <w:tr>
        <w:tc>
          <w:tcPr>
            <w:tcW w:type="dxa" w:w="5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Rango triangulado</w:t>
            </w:r>
          </w:p>
        </w:tc>
        <w:tc>
          <w:tcPr>
            <w:tcW w:type="dxa" w:w="3700"/>
            <w:shd w:fill="F2F5F8" w:val="clear"/>
            <w:tcMar>
              <w:top w:type="dxa" w:w="90"/>
              <w:left w:type="dxa" w:w="110"/>
              <w:bottom w:type="dxa" w:w="90"/>
              <w:right w:type="dxa" w:w="110"/>
            </w:tcMar>
            <w:vAlign w:val="center"/>
          </w:tcPr>
          <w:p>
            <w:pPr>
              <w:jc w:val="center"/>
            </w:pPr>
            <w:r>
              <w:rPr>
                <w:rFonts w:ascii="Times New Roman" w:cs="Times New Roman" w:eastAsia="Times New Roman" w:hAnsi="Times New Roman"/>
                <w:color w:val="1A1A1A"/>
                <w:sz w:val="19"/>
                <w:szCs w:val="19"/>
              </w:rPr>
              <w:t xml:space="preserve">2,600,000 – 3,300,000</w:t>
            </w:r>
          </w:p>
        </w:tc>
      </w:tr>
    </w:tbl>
    <w:p>
      <w:pPr>
        <w:pStyle w:val="Heading2"/>
        <w:spacing w:after="160" w:before="300"/>
        <w:jc w:val="left"/>
      </w:pPr>
      <w:r>
        <w:rPr>
          <w:rFonts w:ascii="Times New Roman" w:cs="Times New Roman" w:eastAsia="Times New Roman" w:hAnsi="Times New Roman"/>
          <w:b/>
          <w:bCs/>
          <w:color w:val="12314F"/>
          <w:sz w:val="25"/>
          <w:szCs w:val="25"/>
        </w:rPr>
        <w:t xml:space="preserve">11.5 Propuesta de Ronda de Inversión</w:t>
      </w:r>
    </w:p>
    <w:p>
      <w:pPr>
        <w:spacing w:after="160" w:line="264" w:lineRule="auto"/>
        <w:ind w:firstLine="720"/>
        <w:jc w:val="left"/>
      </w:pPr>
      <w:r>
        <w:rPr>
          <w:rFonts w:ascii="Times New Roman" w:cs="Times New Roman" w:eastAsia="Times New Roman" w:hAnsi="Times New Roman"/>
          <w:sz w:val="22"/>
          <w:szCs w:val="22"/>
        </w:rPr>
        <w:t xml:space="preserve">Sobre la base del rango triangulado en la sección anterior, se propone la siguiente estructura para la ronda de inversión semilla:</w:t>
      </w:r>
    </w:p>
    <w:p>
      <w:pPr>
        <w:spacing w:after="100"/>
        <w:jc w:val="left"/>
      </w:pPr>
      <w:r>
        <w:rPr>
          <w:rFonts w:ascii="Times New Roman" w:cs="Times New Roman" w:eastAsia="Times New Roman" w:hAnsi="Times New Roman"/>
          <w:i/>
          <w:iCs/>
          <w:sz w:val="20"/>
          <w:szCs w:val="20"/>
        </w:rPr>
        <w:t xml:space="preserve">Tabla 16. Estructura propuesta de la ronda de inversión semilla</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5200"/>
        <w:gridCol w:w="4300"/>
      </w:tblGrid>
      <w:tr>
        <w:trPr>
          <w:tblHeader/>
        </w:trPr>
        <w:tc>
          <w:tcPr>
            <w:tcW w:type="dxa" w:w="52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Concepto</w:t>
            </w:r>
          </w:p>
        </w:tc>
        <w:tc>
          <w:tcPr>
            <w:tcW w:type="dxa" w:w="4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Valor</w:t>
            </w:r>
          </w:p>
        </w:tc>
      </w:tr>
      <w:tr>
        <w:tc>
          <w:tcPr>
            <w:tcW w:type="dxa" w:w="52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Valoración pre-money propuesta</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2,850,000</w:t>
            </w:r>
          </w:p>
        </w:tc>
      </w:tr>
      <w:tr>
        <w:tc>
          <w:tcPr>
            <w:tcW w:type="dxa" w:w="52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Monto de inversión solicitado</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950,000</w:t>
            </w:r>
          </w:p>
        </w:tc>
      </w:tr>
      <w:tr>
        <w:tc>
          <w:tcPr>
            <w:tcW w:type="dxa" w:w="52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Valoración post-money</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 3,800,000</w:t>
            </w:r>
          </w:p>
        </w:tc>
      </w:tr>
      <w:tr>
        <w:tc>
          <w:tcPr>
            <w:tcW w:type="dxa" w:w="52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Participación accionaria ofrecida</w:t>
            </w:r>
          </w:p>
        </w:tc>
        <w:tc>
          <w:tcPr>
            <w:tcW w:type="dxa" w:w="4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25 %</w:t>
            </w:r>
          </w:p>
        </w:tc>
      </w:tr>
    </w:tbl>
    <w:p>
      <w:pPr>
        <w:spacing w:after="160" w:line="264" w:lineRule="auto"/>
        <w:ind w:firstLine="720"/>
        <w:jc w:val="left"/>
      </w:pPr>
      <w:r>
        <w:rPr>
          <w:rFonts w:ascii="Times New Roman" w:cs="Times New Roman" w:eastAsia="Times New Roman" w:hAnsi="Times New Roman"/>
          <w:sz w:val="22"/>
          <w:szCs w:val="22"/>
        </w:rPr>
        <w:t xml:space="preserve">Esta propuesta es un punto de partida para la negociación con los representantes e inversionistas, y se encuentra sujeta al proceso de debida diligencia legal, financiera y técnica que las partes acuerden. Se recomienda formalizar los términos definitivos de la ronda mediante un instrumento estándar de inversión en etapa temprana (por ejemplo, un contrato de compraventa de acciones o un instrumento convertible), con el acompañamiento de asesoría legal especializada.</w:t>
      </w:r>
    </w:p>
    <w:p>
      <w:pPr>
        <w:pStyle w:val="Heading2"/>
        <w:spacing w:after="160" w:before="300"/>
        <w:jc w:val="left"/>
      </w:pPr>
      <w:r>
        <w:rPr>
          <w:rFonts w:ascii="Times New Roman" w:cs="Times New Roman" w:eastAsia="Times New Roman" w:hAnsi="Times New Roman"/>
          <w:b/>
          <w:bCs/>
          <w:color w:val="12314F"/>
          <w:sz w:val="25"/>
          <w:szCs w:val="25"/>
        </w:rPr>
        <w:t xml:space="preserve">11.6 Escenario Ilustrativo de Retorno para el Inversionista</w:t>
      </w:r>
    </w:p>
    <w:p>
      <w:pPr>
        <w:spacing w:after="160" w:line="264" w:lineRule="auto"/>
        <w:ind w:firstLine="720"/>
        <w:jc w:val="left"/>
      </w:pPr>
      <w:r>
        <w:rPr>
          <w:rFonts w:ascii="Times New Roman" w:cs="Times New Roman" w:eastAsia="Times New Roman" w:hAnsi="Times New Roman"/>
          <w:sz w:val="22"/>
          <w:szCs w:val="22"/>
        </w:rPr>
        <w:t xml:space="preserve">A modo estrictamente ilustrativo —y sujeto a los riesgos de dilución en futuras rondas y a la incertidumbre inherente a toda proyección de largo plazo—, si la empresa alcanzara hacia el Año 5 un múltiplo de salida de entre 4 y 5 veces sus ingresos anuales (S/ 7,030,000), el valor de la empresa podría situarse entre S/ 28 y S/ 35 millones. Incluso considerando una dilución razonable de la participación del inversionista en rondas posteriores, este escenario sería consistente con una tasa interna de retorno atractiva para un inversionista de capital de riesgo en etapa semilla, en línea con los retornos que este tipo de inversionistas suele exigir para compensar el riesgo asumido.</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12. Análisis de Riesgos</w:t>
      </w:r>
    </w:p>
    <w:p>
      <w:pPr>
        <w:spacing w:after="160" w:line="264" w:lineRule="auto"/>
        <w:ind w:firstLine="720"/>
        <w:jc w:val="left"/>
      </w:pPr>
      <w:r>
        <w:rPr>
          <w:rFonts w:ascii="Times New Roman" w:cs="Times New Roman" w:eastAsia="Times New Roman" w:hAnsi="Times New Roman"/>
          <w:sz w:val="22"/>
          <w:szCs w:val="22"/>
        </w:rPr>
        <w:t xml:space="preserve">Todo plan de negocios en etapa temprana está sujeto a incertidumbre. Esta sección identifica los riesgos más relevantes para KanchaYA, los organiza según su probabilidad de ocurrencia e impacto potencial sobre el negocio, y propone estrategias de mitigación para cada uno.</w:t>
      </w:r>
    </w:p>
    <w:p>
      <w:pPr>
        <w:pStyle w:val="Heading2"/>
        <w:spacing w:after="160" w:before="300"/>
        <w:jc w:val="left"/>
      </w:pPr>
      <w:r>
        <w:rPr>
          <w:rFonts w:ascii="Times New Roman" w:cs="Times New Roman" w:eastAsia="Times New Roman" w:hAnsi="Times New Roman"/>
          <w:b/>
          <w:bCs/>
          <w:color w:val="12314F"/>
          <w:sz w:val="25"/>
          <w:szCs w:val="25"/>
        </w:rPr>
        <w:t xml:space="preserve">12.1 Matriz de Riesgos</w:t>
      </w:r>
    </w:p>
    <w:p>
      <w:pPr>
        <w:spacing w:after="80" w:before="120"/>
        <w:jc w:val="center"/>
      </w:pPr>
      <w:r>
        <w:drawing>
          <wp:inline distT="0" distB="0" distL="0" distR="0">
            <wp:extent cx="53911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4295775"/>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6</w:t>
      </w:r>
      <w:r>
        <w:rPr>
          <w:rFonts w:ascii="Times New Roman" w:cs="Times New Roman" w:eastAsia="Times New Roman" w:hAnsi="Times New Roman"/>
          <w:i/>
          <w:iCs/>
          <w:sz w:val="20"/>
          <w:szCs w:val="20"/>
        </w:rPr>
        <w:t xml:space="preserve">. Matriz de riesgos del proyecto (probabilidad × impacto).</w:t>
      </w:r>
    </w:p>
    <w:p>
      <w:pPr>
        <w:spacing w:after="200" w:before="40"/>
        <w:jc w:val="left"/>
      </w:pPr>
      <w:r>
        <w:rPr>
          <w:rFonts w:ascii="Times New Roman" w:cs="Times New Roman" w:eastAsia="Times New Roman" w:hAnsi="Times New Roman"/>
          <w:i/>
          <w:iCs/>
          <w:color w:val="5A6672"/>
          <w:sz w:val="18"/>
          <w:szCs w:val="18"/>
        </w:rPr>
        <w:t xml:space="preserve">Nota. Elaboración propia.</w:t>
      </w:r>
    </w:p>
    <w:p>
      <w:pPr>
        <w:pStyle w:val="Heading2"/>
        <w:spacing w:after="160" w:before="300"/>
        <w:jc w:val="left"/>
      </w:pPr>
      <w:r>
        <w:rPr>
          <w:rFonts w:ascii="Times New Roman" w:cs="Times New Roman" w:eastAsia="Times New Roman" w:hAnsi="Times New Roman"/>
          <w:b/>
          <w:bCs/>
          <w:color w:val="12314F"/>
          <w:sz w:val="25"/>
          <w:szCs w:val="25"/>
        </w:rPr>
        <w:t xml:space="preserve">12.2 Riesgos de Mercado</w:t>
      </w:r>
    </w:p>
    <w:p>
      <w:pPr>
        <w:pStyle w:val="Heading3"/>
        <w:spacing w:after="140" w:before="220"/>
        <w:jc w:val="left"/>
      </w:pPr>
      <w:r>
        <w:rPr>
          <w:rFonts w:ascii="Times New Roman" w:cs="Times New Roman" w:eastAsia="Times New Roman" w:hAnsi="Times New Roman"/>
          <w:b/>
          <w:bCs/>
          <w:i/>
          <w:iCs/>
          <w:color w:val="1F4E79"/>
          <w:sz w:val="23"/>
          <w:szCs w:val="23"/>
        </w:rPr>
        <w:t xml:space="preserve">12.2.1 Baja Adopción por Parte de los Centros Deportivos</w:t>
      </w:r>
    </w:p>
    <w:p>
      <w:pPr>
        <w:spacing w:after="160" w:line="264" w:lineRule="auto"/>
        <w:ind w:firstLine="720"/>
        <w:jc w:val="left"/>
      </w:pPr>
      <w:r>
        <w:rPr>
          <w:rFonts w:ascii="Times New Roman" w:cs="Times New Roman" w:eastAsia="Times New Roman" w:hAnsi="Times New Roman"/>
          <w:sz w:val="22"/>
          <w:szCs w:val="22"/>
        </w:rPr>
        <w:t xml:space="preserve">Existe el riesgo de que los administradores de centros deportivos, particularmente los de menor tamaño o los de perfil más informal, se muestren reacios a adoptar una herramienta digital nueva o a ceder una comisión sobre sus ingresos. Mitigación: estrategia de onboarding presencial y asistido durante la Fase 1, comisión de entrada reducida (9 %) para los primeros centros afiliados, y demostración temprana de valor a través de reportes de ocupación e ingresos incrementales.</w:t>
      </w:r>
    </w:p>
    <w:p>
      <w:pPr>
        <w:pStyle w:val="Heading3"/>
        <w:spacing w:after="140" w:before="220"/>
        <w:jc w:val="left"/>
      </w:pPr>
      <w:r>
        <w:rPr>
          <w:rFonts w:ascii="Times New Roman" w:cs="Times New Roman" w:eastAsia="Times New Roman" w:hAnsi="Times New Roman"/>
          <w:b/>
          <w:bCs/>
          <w:i/>
          <w:iCs/>
          <w:color w:val="1F4E79"/>
          <w:sz w:val="23"/>
          <w:szCs w:val="23"/>
        </w:rPr>
        <w:t xml:space="preserve">12.2.2 Estacionalidad Climática</w:t>
      </w:r>
    </w:p>
    <w:p>
      <w:pPr>
        <w:spacing w:after="160" w:line="264" w:lineRule="auto"/>
        <w:ind w:firstLine="720"/>
        <w:jc w:val="left"/>
      </w:pPr>
      <w:r>
        <w:rPr>
          <w:rFonts w:ascii="Times New Roman" w:cs="Times New Roman" w:eastAsia="Times New Roman" w:hAnsi="Times New Roman"/>
          <w:sz w:val="22"/>
          <w:szCs w:val="22"/>
        </w:rPr>
        <w:t xml:space="preserve">La temporada de lluvias en el Cusco (aproximadamente de diciembre a marzo) reduce la disponibilidad y demanda de canchas al aire libre. Mitigación: priorización, en el proceso de afiliación, de centros deportivos con canchas techadas o bajo techo, y diversificación hacia deportes de losa techada (vóley, básquet) menos afectados por esta estacionalidad.</w:t>
      </w:r>
    </w:p>
    <w:p>
      <w:pPr>
        <w:pStyle w:val="Heading3"/>
        <w:spacing w:after="140" w:before="220"/>
        <w:jc w:val="left"/>
      </w:pPr>
      <w:r>
        <w:rPr>
          <w:rFonts w:ascii="Times New Roman" w:cs="Times New Roman" w:eastAsia="Times New Roman" w:hAnsi="Times New Roman"/>
          <w:b/>
          <w:bCs/>
          <w:i/>
          <w:iCs/>
          <w:color w:val="1F4E79"/>
          <w:sz w:val="23"/>
          <w:szCs w:val="23"/>
        </w:rPr>
        <w:t xml:space="preserve">12.2.3 Entrada de un Competidor con Mayor Capital</w:t>
      </w:r>
    </w:p>
    <w:p>
      <w:pPr>
        <w:spacing w:after="160" w:line="264" w:lineRule="auto"/>
        <w:ind w:firstLine="720"/>
        <w:jc w:val="left"/>
      </w:pPr>
      <w:r>
        <w:rPr>
          <w:rFonts w:ascii="Times New Roman" w:cs="Times New Roman" w:eastAsia="Times New Roman" w:hAnsi="Times New Roman"/>
          <w:sz w:val="22"/>
          <w:szCs w:val="22"/>
        </w:rPr>
        <w:t xml:space="preserve">Actores nacionales (como FairPlay) o internacionales (como Playtomic) podrían priorizar la expansión hacia el Cusco antes de que KanchaYA consolide una posición de liderazgo local. Mitigación: velocidad de ejecución en la Fase 1 y 2, construcción de relaciones exclusivas o preferentes con los centros deportivos de mayor volumen de la ciudad, y diferenciación sostenida a través del módulo de campeonatos, de desarrollo más intensivo y menos replicable en el corto plazo.</w:t>
      </w:r>
    </w:p>
    <w:p>
      <w:pPr>
        <w:pStyle w:val="Heading2"/>
        <w:spacing w:after="160" w:before="300"/>
        <w:jc w:val="left"/>
      </w:pPr>
      <w:r>
        <w:rPr>
          <w:rFonts w:ascii="Times New Roman" w:cs="Times New Roman" w:eastAsia="Times New Roman" w:hAnsi="Times New Roman"/>
          <w:b/>
          <w:bCs/>
          <w:color w:val="12314F"/>
          <w:sz w:val="25"/>
          <w:szCs w:val="25"/>
        </w:rPr>
        <w:t xml:space="preserve">12.3 Riesgos Tecnológicos</w:t>
      </w:r>
    </w:p>
    <w:p>
      <w:pPr>
        <w:pStyle w:val="Heading3"/>
        <w:spacing w:after="140" w:before="220"/>
        <w:jc w:val="left"/>
      </w:pPr>
      <w:r>
        <w:rPr>
          <w:rFonts w:ascii="Times New Roman" w:cs="Times New Roman" w:eastAsia="Times New Roman" w:hAnsi="Times New Roman"/>
          <w:b/>
          <w:bCs/>
          <w:i/>
          <w:iCs/>
          <w:color w:val="1F4E79"/>
          <w:sz w:val="23"/>
          <w:szCs w:val="23"/>
        </w:rPr>
        <w:t xml:space="preserve">12.3.1 Caída o Indisponibilidad de la Plataforma</w:t>
      </w:r>
    </w:p>
    <w:p>
      <w:pPr>
        <w:spacing w:after="160" w:line="264" w:lineRule="auto"/>
        <w:ind w:firstLine="720"/>
        <w:jc w:val="left"/>
      </w:pPr>
      <w:r>
        <w:rPr>
          <w:rFonts w:ascii="Times New Roman" w:cs="Times New Roman" w:eastAsia="Times New Roman" w:hAnsi="Times New Roman"/>
          <w:sz w:val="22"/>
          <w:szCs w:val="22"/>
        </w:rPr>
        <w:t xml:space="preserve">Una interrupción del servicio durante horas de alta demanda (fines de semana, lanzamiento de un campeonato) afectaría directamente la confianza de ambos lados del mercado. Mitigación: arquitectura de microservicios con redundancia (sección 7), monitoreo activo con alertas automatizadas, y un plan documentado de recuperación ante desastres con objetivos de tiempo de recuperación (RTO) definidos.</w:t>
      </w:r>
    </w:p>
    <w:p>
      <w:pPr>
        <w:pStyle w:val="Heading3"/>
        <w:spacing w:after="140" w:before="220"/>
        <w:jc w:val="left"/>
      </w:pPr>
      <w:r>
        <w:rPr>
          <w:rFonts w:ascii="Times New Roman" w:cs="Times New Roman" w:eastAsia="Times New Roman" w:hAnsi="Times New Roman"/>
          <w:b/>
          <w:bCs/>
          <w:i/>
          <w:iCs/>
          <w:color w:val="1F4E79"/>
          <w:sz w:val="23"/>
          <w:szCs w:val="23"/>
        </w:rPr>
        <w:t xml:space="preserve">12.3.2 Brecha de Seguridad de Datos Personales</w:t>
      </w:r>
    </w:p>
    <w:p>
      <w:pPr>
        <w:spacing w:after="160" w:line="264" w:lineRule="auto"/>
        <w:ind w:firstLine="720"/>
        <w:jc w:val="left"/>
      </w:pPr>
      <w:r>
        <w:rPr>
          <w:rFonts w:ascii="Times New Roman" w:cs="Times New Roman" w:eastAsia="Times New Roman" w:hAnsi="Times New Roman"/>
          <w:sz w:val="22"/>
          <w:szCs w:val="22"/>
        </w:rPr>
        <w:t xml:space="preserve">Dada la naturaleza de la información gestionada (datos personales y de pago), un incidente de seguridad tendría un impacto reputacional y legal severo, incluyendo la exposición a las sanciones previstas por la Ley N.º 29733 (desarrolladas en la sección 13.3). Mitigación: adopción desde el diseño de las prácticas de seguridad descritas en la sección 7.4, cifrado de datos sensibles, tokenización de pagos a través de las pasarelas certificadas, y contratación de una póliza de seguro cibernético una vez que el volumen de la operación lo justifique.</w:t>
      </w:r>
    </w:p>
    <w:p>
      <w:pPr>
        <w:pStyle w:val="Heading2"/>
        <w:spacing w:after="160" w:before="300"/>
        <w:jc w:val="left"/>
      </w:pPr>
      <w:r>
        <w:rPr>
          <w:rFonts w:ascii="Times New Roman" w:cs="Times New Roman" w:eastAsia="Times New Roman" w:hAnsi="Times New Roman"/>
          <w:b/>
          <w:bCs/>
          <w:color w:val="12314F"/>
          <w:sz w:val="25"/>
          <w:szCs w:val="25"/>
        </w:rPr>
        <w:t xml:space="preserve">12.4 Riesgos Financieros</w:t>
      </w:r>
    </w:p>
    <w:p>
      <w:pPr>
        <w:pStyle w:val="Heading3"/>
        <w:spacing w:after="140" w:before="220"/>
        <w:jc w:val="left"/>
      </w:pPr>
      <w:r>
        <w:rPr>
          <w:rFonts w:ascii="Times New Roman" w:cs="Times New Roman" w:eastAsia="Times New Roman" w:hAnsi="Times New Roman"/>
          <w:b/>
          <w:bCs/>
          <w:i/>
          <w:iCs/>
          <w:color w:val="1F4E79"/>
          <w:sz w:val="23"/>
          <w:szCs w:val="23"/>
        </w:rPr>
        <w:t xml:space="preserve">12.4.1 Morosidad o Fraude en Pagos</w:t>
      </w:r>
    </w:p>
    <w:p>
      <w:pPr>
        <w:spacing w:after="160" w:line="264" w:lineRule="auto"/>
        <w:ind w:firstLine="720"/>
        <w:jc w:val="left"/>
      </w:pPr>
      <w:r>
        <w:rPr>
          <w:rFonts w:ascii="Times New Roman" w:cs="Times New Roman" w:eastAsia="Times New Roman" w:hAnsi="Times New Roman"/>
          <w:sz w:val="22"/>
          <w:szCs w:val="22"/>
        </w:rPr>
        <w:t xml:space="preserve">Riesgo de disputas de pago (contracargos), reservas fraudulentas o intentos de evasión de la comisión de la plataforma por parte de algún centro deportivo o usuario. Mitigación: delegar el procesamiento de pagos a pasarelas certificadas con sistemas antifraude propios (por ejemplo, el sistema CyberSource utilizado por Niubiz), y establecer políticas claras de cancelación y penalidad dentro de los términos de servicio.</w:t>
      </w:r>
    </w:p>
    <w:p>
      <w:pPr>
        <w:pStyle w:val="Heading3"/>
        <w:spacing w:after="140" w:before="220"/>
        <w:jc w:val="left"/>
      </w:pPr>
      <w:r>
        <w:rPr>
          <w:rFonts w:ascii="Times New Roman" w:cs="Times New Roman" w:eastAsia="Times New Roman" w:hAnsi="Times New Roman"/>
          <w:b/>
          <w:bCs/>
          <w:i/>
          <w:iCs/>
          <w:color w:val="1F4E79"/>
          <w:sz w:val="23"/>
          <w:szCs w:val="23"/>
        </w:rPr>
        <w:t xml:space="preserve">12.4.2 Retraso en Levantar Capital de Expansión</w:t>
      </w:r>
    </w:p>
    <w:p>
      <w:pPr>
        <w:spacing w:after="160" w:line="264" w:lineRule="auto"/>
        <w:ind w:firstLine="720"/>
        <w:jc w:val="left"/>
      </w:pPr>
      <w:r>
        <w:rPr>
          <w:rFonts w:ascii="Times New Roman" w:cs="Times New Roman" w:eastAsia="Times New Roman" w:hAnsi="Times New Roman"/>
          <w:sz w:val="22"/>
          <w:szCs w:val="22"/>
        </w:rPr>
        <w:t xml:space="preserve">La Fase 4 del alcance del proyecto depende de levantar una ronda de inversión adicional (Serie A) hacia el segundo año de operación. Un retraso en ese proceso, en un contexto de brecha de financiamiento estructural en el ecosistema peruano (Gestión, 2026), podría posponer la expansión regional. Mitigación: diseñar la estructura de costos de forma que la operación en Cusco pueda sostenerse de forma más prolongada de ser necesario, y mantener conversaciones tempranas con fondos e inversionistas ángeles regionales.</w:t>
      </w:r>
    </w:p>
    <w:p>
      <w:pPr>
        <w:pStyle w:val="Heading2"/>
        <w:spacing w:after="160" w:before="300"/>
        <w:jc w:val="left"/>
      </w:pPr>
      <w:r>
        <w:rPr>
          <w:rFonts w:ascii="Times New Roman" w:cs="Times New Roman" w:eastAsia="Times New Roman" w:hAnsi="Times New Roman"/>
          <w:b/>
          <w:bCs/>
          <w:color w:val="12314F"/>
          <w:sz w:val="25"/>
          <w:szCs w:val="25"/>
        </w:rPr>
        <w:t xml:space="preserve">12.5 Riesgos Operativos y Legales</w:t>
      </w:r>
    </w:p>
    <w:p>
      <w:pPr>
        <w:pStyle w:val="Heading3"/>
        <w:spacing w:after="140" w:before="220"/>
        <w:jc w:val="left"/>
      </w:pPr>
      <w:r>
        <w:rPr>
          <w:rFonts w:ascii="Times New Roman" w:cs="Times New Roman" w:eastAsia="Times New Roman" w:hAnsi="Times New Roman"/>
          <w:b/>
          <w:bCs/>
          <w:i/>
          <w:iCs/>
          <w:color w:val="1F4E79"/>
          <w:sz w:val="23"/>
          <w:szCs w:val="23"/>
        </w:rPr>
        <w:t xml:space="preserve">12.5.1 Rotación del Equipo Clave</w:t>
      </w:r>
    </w:p>
    <w:p>
      <w:pPr>
        <w:spacing w:after="160" w:line="264" w:lineRule="auto"/>
        <w:ind w:firstLine="720"/>
        <w:jc w:val="left"/>
      </w:pPr>
      <w:r>
        <w:rPr>
          <w:rFonts w:ascii="Times New Roman" w:cs="Times New Roman" w:eastAsia="Times New Roman" w:hAnsi="Times New Roman"/>
          <w:sz w:val="22"/>
          <w:szCs w:val="22"/>
        </w:rPr>
        <w:t xml:space="preserve">En una empresa de este tamaño, la salida de una posición técnica o comercial clave puede generar una disrupción desproporcionada. Mitigación: documentación rigurosa de procesos y decisiones de arquitectura, y consideración de esquemas de retención (participación accionaria, vesting) para las posiciones fundamentales del equipo.</w:t>
      </w:r>
    </w:p>
    <w:p>
      <w:pPr>
        <w:pStyle w:val="Heading3"/>
        <w:spacing w:after="140" w:before="220"/>
        <w:jc w:val="left"/>
      </w:pPr>
      <w:r>
        <w:rPr>
          <w:rFonts w:ascii="Times New Roman" w:cs="Times New Roman" w:eastAsia="Times New Roman" w:hAnsi="Times New Roman"/>
          <w:b/>
          <w:bCs/>
          <w:i/>
          <w:iCs/>
          <w:color w:val="1F4E79"/>
          <w:sz w:val="23"/>
          <w:szCs w:val="23"/>
        </w:rPr>
        <w:t xml:space="preserve">12.5.2 Cambios Regulatorios</w:t>
      </w:r>
    </w:p>
    <w:p>
      <w:pPr>
        <w:spacing w:after="160" w:line="264" w:lineRule="auto"/>
        <w:ind w:firstLine="720"/>
        <w:jc w:val="left"/>
      </w:pPr>
      <w:r>
        <w:rPr>
          <w:rFonts w:ascii="Times New Roman" w:cs="Times New Roman" w:eastAsia="Times New Roman" w:hAnsi="Times New Roman"/>
          <w:sz w:val="22"/>
          <w:szCs w:val="22"/>
        </w:rPr>
        <w:t xml:space="preserve">Modificaciones al marco normativo de protección de datos personales, comercio electrónico o tributación de plataformas digitales podrían requerir ajustes operativos. Mitigación: asesoría legal continua (contemplada dentro del presupuesto operativo, sección 9.3) y monitoreo activo de la agenda regulatoria peruana en materia digital.</w:t>
      </w:r>
    </w:p>
    <w:p>
      <w:pPr>
        <w:pStyle w:val="Heading2"/>
        <w:spacing w:after="160" w:before="300"/>
        <w:jc w:val="left"/>
      </w:pPr>
      <w:r>
        <w:rPr>
          <w:rFonts w:ascii="Times New Roman" w:cs="Times New Roman" w:eastAsia="Times New Roman" w:hAnsi="Times New Roman"/>
          <w:b/>
          <w:bCs/>
          <w:color w:val="12314F"/>
          <w:sz w:val="25"/>
          <w:szCs w:val="25"/>
        </w:rPr>
        <w:t xml:space="preserve">12.6 Síntesis de Mitigación</w:t>
      </w:r>
    </w:p>
    <w:p>
      <w:pPr>
        <w:spacing w:after="100"/>
        <w:jc w:val="left"/>
      </w:pPr>
      <w:r>
        <w:rPr>
          <w:rFonts w:ascii="Times New Roman" w:cs="Times New Roman" w:eastAsia="Times New Roman" w:hAnsi="Times New Roman"/>
          <w:i/>
          <w:iCs/>
          <w:sz w:val="20"/>
          <w:szCs w:val="20"/>
        </w:rPr>
        <w:t xml:space="preserve">Tabla 17. Síntesis de riesgos principales y estrategias de mitigación</w:t>
      </w:r>
    </w:p>
    <w:tbl>
      <w:tblPr>
        <w:tblW w:type="dxa" w:w="8900"/>
        <w:tblBorders>
          <w:top w:val="single" w:color="AAB4BF" w:sz="4"/>
          <w:left w:val="single" w:color="AAB4BF" w:sz="4"/>
          <w:bottom w:val="single" w:color="AAB4BF" w:sz="4"/>
          <w:right w:val="single" w:color="AAB4BF" w:sz="4"/>
          <w:insideH w:val="single" w:color="D3D9E0" w:sz="2"/>
          <w:insideV w:val="single" w:color="D3D9E0" w:sz="2"/>
        </w:tblBorders>
      </w:tblPr>
      <w:tblGrid>
        <w:gridCol w:w="3400"/>
        <w:gridCol w:w="1900"/>
        <w:gridCol w:w="3600"/>
      </w:tblGrid>
      <w:tr>
        <w:trPr>
          <w:tblHeader/>
        </w:trPr>
        <w:tc>
          <w:tcPr>
            <w:tcW w:type="dxa" w:w="34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Riesgo</w:t>
            </w:r>
          </w:p>
        </w:tc>
        <w:tc>
          <w:tcPr>
            <w:tcW w:type="dxa" w:w="1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Nivel</w:t>
            </w:r>
          </w:p>
        </w:tc>
        <w:tc>
          <w:tcPr>
            <w:tcW w:type="dxa" w:w="36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Estrategia de mitigación principal</w:t>
            </w:r>
          </w:p>
        </w:tc>
      </w:tr>
      <w:tr>
        <w:tc>
          <w:tcPr>
            <w:tcW w:type="dxa" w:w="3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Baja adopción de centros deportivos</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Alto</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Onboarding presencial asistido y comisión de entrada reducida</w:t>
            </w:r>
          </w:p>
        </w:tc>
      </w:tr>
      <w:tr>
        <w:tc>
          <w:tcPr>
            <w:tcW w:type="dxa" w:w="3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Entrada de competidor con mayor capital</w:t>
            </w:r>
          </w:p>
        </w:tc>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Alto</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Velocidad de ejecución y diferenciación vía módulo de campeonatos</w:t>
            </w:r>
          </w:p>
        </w:tc>
      </w:tr>
      <w:tr>
        <w:tc>
          <w:tcPr>
            <w:tcW w:type="dxa" w:w="3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Retraso en levantar capital de expansión</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Alto</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Estructura de costos flexible y conversaciones tempranas con inversionistas</w:t>
            </w:r>
          </w:p>
        </w:tc>
      </w:tr>
      <w:tr>
        <w:tc>
          <w:tcPr>
            <w:tcW w:type="dxa" w:w="3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Brecha de datos personales</w:t>
            </w:r>
          </w:p>
        </w:tc>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Medio-crítico (baja probabilidad)</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Seguridad desde el diseño y cumplimiento de la Ley N.º 29733</w:t>
            </w:r>
          </w:p>
        </w:tc>
      </w:tr>
      <w:tr>
        <w:tc>
          <w:tcPr>
            <w:tcW w:type="dxa" w:w="3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Estacionalidad (lluvias)</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Medio</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Priorización de canchas techadas y deportes de losa</w:t>
            </w:r>
          </w:p>
        </w:tc>
      </w:tr>
      <w:tr>
        <w:tc>
          <w:tcPr>
            <w:tcW w:type="dxa" w:w="3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Morosidad o fraude en pagos</w:t>
            </w:r>
          </w:p>
        </w:tc>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Medio</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Delegación del procesamiento a pasarelas certificadas con antifraude</w:t>
            </w:r>
          </w:p>
        </w:tc>
      </w:tr>
      <w:tr>
        <w:tc>
          <w:tcPr>
            <w:tcW w:type="dxa" w:w="3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Caída de la plataforma</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Medio</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Arquitectura redundante y plan de recuperación ante desastres</w:t>
            </w:r>
          </w:p>
        </w:tc>
      </w:tr>
      <w:tr>
        <w:tc>
          <w:tcPr>
            <w:tcW w:type="dxa" w:w="3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Rotación del equipo clave</w:t>
            </w:r>
          </w:p>
        </w:tc>
        <w:tc>
          <w:tcPr>
            <w:tcW w:type="dxa" w:w="1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Medio</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Documentación de procesos y esquemas de retención accionaria</w:t>
            </w:r>
          </w:p>
        </w:tc>
      </w:tr>
      <w:tr>
        <w:tc>
          <w:tcPr>
            <w:tcW w:type="dxa" w:w="3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Cambios regulatorios</w:t>
            </w:r>
          </w:p>
        </w:tc>
        <w:tc>
          <w:tcPr>
            <w:tcW w:type="dxa" w:w="1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Bajo</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Asesoría legal continua y monitoreo normativo</w:t>
            </w:r>
          </w:p>
        </w:tc>
      </w:tr>
    </w:tbl>
    <w:p>
      <w:pPr>
        <w:pStyle w:val="Heading1"/>
        <w:pageBreakBefore/>
        <w:spacing w:after="220" w:before="340"/>
        <w:jc w:val="center"/>
      </w:pPr>
      <w:r>
        <w:rPr>
          <w:rFonts w:ascii="Times New Roman" w:cs="Times New Roman" w:eastAsia="Times New Roman" w:hAnsi="Times New Roman"/>
          <w:b/>
          <w:bCs/>
          <w:color w:val="12314F"/>
          <w:sz w:val="27"/>
          <w:szCs w:val="27"/>
        </w:rPr>
        <w:t xml:space="preserve">13. Marco Legal y Regulatorio</w:t>
      </w:r>
    </w:p>
    <w:p>
      <w:pPr>
        <w:spacing w:after="160" w:line="264" w:lineRule="auto"/>
        <w:ind w:firstLine="720"/>
        <w:jc w:val="left"/>
      </w:pPr>
      <w:r>
        <w:rPr>
          <w:rFonts w:ascii="Times New Roman" w:cs="Times New Roman" w:eastAsia="Times New Roman" w:hAnsi="Times New Roman"/>
          <w:sz w:val="22"/>
          <w:szCs w:val="22"/>
        </w:rPr>
        <w:t xml:space="preserve">Esta sección resume el marco normativo peruano más relevante para la operación de KanchaYA. No constituye asesoría legal; se recomienda la validación de cada punto con un estudio jurídico especializado antes de la puesta en marcha de la empresa.</w:t>
      </w:r>
    </w:p>
    <w:p>
      <w:pPr>
        <w:pStyle w:val="Heading2"/>
        <w:spacing w:after="160" w:before="300"/>
        <w:jc w:val="left"/>
      </w:pPr>
      <w:r>
        <w:rPr>
          <w:rFonts w:ascii="Times New Roman" w:cs="Times New Roman" w:eastAsia="Times New Roman" w:hAnsi="Times New Roman"/>
          <w:b/>
          <w:bCs/>
          <w:color w:val="12314F"/>
          <w:sz w:val="25"/>
          <w:szCs w:val="25"/>
        </w:rPr>
        <w:t xml:space="preserve">13.1 Constitución de la Empresa</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Como se detalla en la sección 9.1, se recomienda constituir la empresa como una Sociedad Anónima Cerrada (SAC) al amparo de la Ley General de Sociedades (Ley N.º 26887). El proceso puede completarse por la vía digital del Sistema de Intermediación Digital de SUNARP en un plazo de 24 a 72 horas, o por la vía notarial tradicional en un plazo de 7 a 15 días hábiles, con un costo total estimado entre S/ 500 y S/ 1,500 </w:t>
      </w:r>
      <w:r>
        <w:rPr>
          <w:rFonts w:ascii="Times New Roman" w:cs="Times New Roman" w:eastAsia="Times New Roman" w:hAnsi="Times New Roman"/>
          <w:b w:val="false"/>
          <w:bCs w:val="false"/>
          <w:i w:val="false"/>
          <w:iCs w:val="false"/>
          <w:sz w:val="22"/>
          <w:szCs w:val="22"/>
        </w:rPr>
        <w:t xml:space="preserve">(TrámitesPerú, 2026)</w:t>
      </w:r>
      <w:r>
        <w:rPr>
          <w:rFonts w:ascii="Times New Roman" w:cs="Times New Roman" w:eastAsia="Times New Roman" w:hAnsi="Times New Roman"/>
          <w:b w:val="false"/>
          <w:bCs w:val="false"/>
          <w:i w:val="false"/>
          <w:iCs w:val="false"/>
          <w:sz w:val="22"/>
          <w:szCs w:val="22"/>
        </w:rPr>
        <w:t xml:space="preserve">. No existe un capital social mínimo obligatorio para la constitución de una SAC en el Perú.</w:t>
      </w:r>
    </w:p>
    <w:p>
      <w:pPr>
        <w:pStyle w:val="Heading2"/>
        <w:spacing w:after="160" w:before="300"/>
        <w:jc w:val="left"/>
      </w:pPr>
      <w:r>
        <w:rPr>
          <w:rFonts w:ascii="Times New Roman" w:cs="Times New Roman" w:eastAsia="Times New Roman" w:hAnsi="Times New Roman"/>
          <w:b/>
          <w:bCs/>
          <w:color w:val="12314F"/>
          <w:sz w:val="25"/>
          <w:szCs w:val="25"/>
        </w:rPr>
        <w:t xml:space="preserve">13.2 Régimen Tributario</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Para una empresa en la etapa de facturación proyectada en este plan, el Régimen MYPE Tributario (RMT) resulta el más apropiado. Bajo este régimen, la tasa del Impuesto a la Renta es de 10 % sobre los primeros 15 UIT de renta neta anual, y de 29.5 % sobre el excedente, con un pago a cuenta mensual de 1 % mientras los ingresos netos anuales no superen las 300 UIT. Para el ejercicio 2026, la Unidad Impositiva Tributaria (UIT) fue fijada por el Ministerio de Economía y Finanzas en </w:t>
      </w:r>
      <w:r>
        <w:rPr>
          <w:rFonts w:ascii="Times New Roman" w:cs="Times New Roman" w:eastAsia="Times New Roman" w:hAnsi="Times New Roman"/>
          <w:b/>
          <w:bCs/>
          <w:i w:val="false"/>
          <w:iCs w:val="false"/>
          <w:sz w:val="22"/>
          <w:szCs w:val="22"/>
        </w:rPr>
        <w:t xml:space="preserve">S/ 5,500</w:t>
      </w:r>
      <w:r>
        <w:rPr>
          <w:rFonts w:ascii="Times New Roman" w:cs="Times New Roman" w:eastAsia="Times New Roman" w:hAnsi="Times New Roman"/>
          <w:b w:val="false"/>
          <w:bCs w:val="false"/>
          <w:i w:val="false"/>
          <w:iCs w:val="false"/>
          <w:sz w:val="22"/>
          <w:szCs w:val="22"/>
        </w:rPr>
        <w:t xml:space="preserve">, mediante el Decreto Supremo N.º 301-2025-EF </w:t>
      </w:r>
      <w:r>
        <w:rPr>
          <w:rFonts w:ascii="Times New Roman" w:cs="Times New Roman" w:eastAsia="Times New Roman" w:hAnsi="Times New Roman"/>
          <w:b w:val="false"/>
          <w:bCs w:val="false"/>
          <w:i w:val="false"/>
          <w:iCs w:val="false"/>
          <w:sz w:val="22"/>
          <w:szCs w:val="22"/>
        </w:rPr>
        <w:t xml:space="preserve">(Ministerio de Economía y Finanzas [MEF], 2025)</w:t>
      </w:r>
      <w:r>
        <w:rPr>
          <w:rFonts w:ascii="Times New Roman" w:cs="Times New Roman" w:eastAsia="Times New Roman" w:hAnsi="Times New Roman"/>
          <w:b w:val="false"/>
          <w:bCs w:val="false"/>
          <w:i w:val="false"/>
          <w:iCs w:val="false"/>
          <w:sz w:val="22"/>
          <w:szCs w:val="22"/>
        </w:rPr>
        <w:t xml:space="preserve">. Bajo este valor, el límite de ingresos anuales para la categoría de microempresa es de S/ 825,000 (150 UIT), y para pequeña empresa de hasta S/ 9,350,000 (1,700 UIT) </w:t>
      </w:r>
      <w:r>
        <w:rPr>
          <w:rFonts w:ascii="Times New Roman" w:cs="Times New Roman" w:eastAsia="Times New Roman" w:hAnsi="Times New Roman"/>
          <w:b w:val="false"/>
          <w:bCs w:val="false"/>
          <w:i w:val="false"/>
          <w:iCs w:val="false"/>
          <w:sz w:val="22"/>
          <w:szCs w:val="22"/>
        </w:rPr>
        <w:t xml:space="preserve">(EY Perú, 2026)</w:t>
      </w:r>
      <w:r>
        <w:rPr>
          <w:rFonts w:ascii="Times New Roman" w:cs="Times New Roman" w:eastAsia="Times New Roman" w:hAnsi="Times New Roman"/>
          <w:b w:val="false"/>
          <w:bCs w:val="false"/>
          <w:i w:val="false"/>
          <w:iCs w:val="false"/>
          <w:sz w:val="22"/>
          <w:szCs w:val="22"/>
        </w:rPr>
        <w:t xml:space="preserve">, umbrales relevantes para proyectar la migración de régimen tributario de KanchaYA conforme crecen sus ingresos a lo largo del horizonte de este plan.</w:t>
      </w:r>
    </w:p>
    <w:p>
      <w:pPr>
        <w:spacing w:after="160" w:line="264" w:lineRule="auto"/>
        <w:ind w:firstLine="720"/>
        <w:jc w:val="left"/>
      </w:pPr>
      <w:r>
        <w:rPr>
          <w:rFonts w:ascii="Times New Roman" w:cs="Times New Roman" w:eastAsia="Times New Roman" w:hAnsi="Times New Roman"/>
          <w:sz w:val="22"/>
          <w:szCs w:val="22"/>
        </w:rPr>
        <w:t xml:space="preserve">Adicionalmente, la empresa deberá aplicar el Impuesto General a las Ventas (IGV) de 18 % sobre los servicios que presta, y considerar las obligaciones de emisión de comprobantes de pago electrónicos exigidas por SUNAT para negocios digitales.</w:t>
      </w:r>
    </w:p>
    <w:p>
      <w:pPr>
        <w:pStyle w:val="Heading2"/>
        <w:spacing w:after="160" w:before="300"/>
        <w:jc w:val="left"/>
      </w:pPr>
      <w:r>
        <w:rPr>
          <w:rFonts w:ascii="Times New Roman" w:cs="Times New Roman" w:eastAsia="Times New Roman" w:hAnsi="Times New Roman"/>
          <w:b/>
          <w:bCs/>
          <w:color w:val="12314F"/>
          <w:sz w:val="25"/>
          <w:szCs w:val="25"/>
        </w:rPr>
        <w:t xml:space="preserve">13.3 Protección de Datos Personales</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La Ley N.º 29733, Ley de Protección de Datos Personales, publicada en 2011 y complementada por su reglamento, constituye el marco central que regirá el tratamiento de la información de deportistas, centros deportivos e instituciones dentro de la plataforma </w:t>
      </w:r>
      <w:r>
        <w:rPr>
          <w:rFonts w:ascii="Times New Roman" w:cs="Times New Roman" w:eastAsia="Times New Roman" w:hAnsi="Times New Roman"/>
          <w:b w:val="false"/>
          <w:bCs w:val="false"/>
          <w:i w:val="false"/>
          <w:iCs w:val="false"/>
          <w:sz w:val="22"/>
          <w:szCs w:val="22"/>
        </w:rPr>
        <w:t xml:space="preserve">(Congreso de la República del Perú, 2011)</w:t>
      </w:r>
      <w:r>
        <w:rPr>
          <w:rFonts w:ascii="Times New Roman" w:cs="Times New Roman" w:eastAsia="Times New Roman" w:hAnsi="Times New Roman"/>
          <w:b w:val="false"/>
          <w:bCs w:val="false"/>
          <w:i w:val="false"/>
          <w:iCs w:val="false"/>
          <w:sz w:val="22"/>
          <w:szCs w:val="22"/>
        </w:rPr>
        <w:t xml:space="preserve">. Sus obligaciones centrales, aplicables a KanchaYA desde el primer día de operación, incluyen: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Obtener el consentimiento previo, libre, expreso e informado de los titulares antes de recolectar o tratar sus datos personales.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Inscribir los bancos de datos personales de la empresa (por ejemplo, la base de usuarios y de centros deportivos) ante el Registro Nacional de la Autoridad Nacional de Protección de Datos Personales (ANPD), trámite gratuito pero obligatorio.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Implementar medidas de seguridad técnicas y organizativas adecuadas para proteger los datos frente a accesos no autorizados, pérdida o alteración.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Respetar y facilitar el ejercicio de los derechos ARCO (acceso, rectificación, cancelación y oposición) por parte de los titulares de los datos.</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El incumplimiento de estas obligaciones puede derivar en sanciones de hasta 100 UIT, equivalentes a S/ 550,000 bajo el valor de la UIT vigente para 2026 </w:t>
      </w:r>
      <w:r>
        <w:rPr>
          <w:rFonts w:ascii="Times New Roman" w:cs="Times New Roman" w:eastAsia="Times New Roman" w:hAnsi="Times New Roman"/>
          <w:b w:val="false"/>
          <w:bCs w:val="false"/>
          <w:i w:val="false"/>
          <w:iCs w:val="false"/>
          <w:sz w:val="22"/>
          <w:szCs w:val="22"/>
        </w:rPr>
        <w:t xml:space="preserve">(Kom.pe, 2026)</w:t>
      </w:r>
      <w:r>
        <w:rPr>
          <w:rFonts w:ascii="Times New Roman" w:cs="Times New Roman" w:eastAsia="Times New Roman" w:hAnsi="Times New Roman"/>
          <w:b w:val="false"/>
          <w:bCs w:val="false"/>
          <w:i w:val="false"/>
          <w:iCs w:val="false"/>
          <w:sz w:val="22"/>
          <w:szCs w:val="22"/>
        </w:rPr>
        <w:t xml:space="preserve">, lo que subraya la importancia de incorporar el cumplimiento de esta normativa como un requisito de diseño desde el inicio del desarrollo del producto, tal como se describe en la sección 7.4 de este documento.</w:t>
      </w:r>
    </w:p>
    <w:p>
      <w:pPr>
        <w:pStyle w:val="Heading2"/>
        <w:spacing w:after="160" w:before="300"/>
        <w:jc w:val="left"/>
      </w:pPr>
      <w:r>
        <w:rPr>
          <w:rFonts w:ascii="Times New Roman" w:cs="Times New Roman" w:eastAsia="Times New Roman" w:hAnsi="Times New Roman"/>
          <w:b/>
          <w:bCs/>
          <w:color w:val="12314F"/>
          <w:sz w:val="25"/>
          <w:szCs w:val="25"/>
        </w:rPr>
        <w:t xml:space="preserve">13.4 Protección al Consumidor</w:t>
      </w:r>
    </w:p>
    <w:p>
      <w:pPr>
        <w:spacing w:after="160" w:line="264" w:lineRule="auto"/>
        <w:ind w:firstLine="720"/>
        <w:jc w:val="left"/>
      </w:pPr>
      <w:r>
        <w:rPr>
          <w:rFonts w:ascii="Times New Roman" w:cs="Times New Roman" w:eastAsia="Times New Roman" w:hAnsi="Times New Roman"/>
          <w:sz w:val="22"/>
          <w:szCs w:val="22"/>
        </w:rPr>
        <w:t xml:space="preserve">Como plataforma de comercio electrónico que intermedia servicios entre terceros, KanchaYA deberá observar el Código de Protección y Defensa del Consumidor y la normativa aplicable a proveedores de comercio electrónico supervisada por INDECOPI, en particular en lo referido a la claridad de las condiciones de contratación, las políticas de cancelación y reembolso, y los canales de atención de reclamos.</w:t>
      </w:r>
    </w:p>
    <w:p>
      <w:pPr>
        <w:pStyle w:val="Heading2"/>
        <w:spacing w:after="160" w:before="300"/>
        <w:jc w:val="left"/>
      </w:pPr>
      <w:r>
        <w:rPr>
          <w:rFonts w:ascii="Times New Roman" w:cs="Times New Roman" w:eastAsia="Times New Roman" w:hAnsi="Times New Roman"/>
          <w:b/>
          <w:bCs/>
          <w:color w:val="12314F"/>
          <w:sz w:val="25"/>
          <w:szCs w:val="25"/>
        </w:rPr>
        <w:t xml:space="preserve">13.5 Licencias Municipales</w:t>
      </w:r>
    </w:p>
    <w:p>
      <w:pPr>
        <w:spacing w:after="160" w:line="264" w:lineRule="auto"/>
        <w:ind w:firstLine="720"/>
        <w:jc w:val="left"/>
      </w:pPr>
      <w:r>
        <w:rPr>
          <w:rFonts w:ascii="Times New Roman" w:cs="Times New Roman" w:eastAsia="Times New Roman" w:hAnsi="Times New Roman"/>
          <w:sz w:val="22"/>
          <w:szCs w:val="22"/>
        </w:rPr>
        <w:t xml:space="preserve">Si bien KanchaYA opera como una plataforma digital y no como un establecimiento físico, se recomienda evaluar con la Municipalidad Provincial del Cusco los requisitos de licencia de funcionamiento aplicables a la oficina administrativa de la empresa, así como explorar activamente la posibilidad de un convenio de colaboración institucional que facilite la adopción de la plataforma por parte de los centros deportivos y programas deportivos municipales, en línea con lo señalado en la sección 15.4 (alianzas estratégicas).</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14. Equipo y Estructura Organizacional</w:t>
      </w:r>
    </w:p>
    <w:p>
      <w:pPr>
        <w:spacing w:after="160" w:line="264" w:lineRule="auto"/>
        <w:ind w:firstLine="720"/>
        <w:jc w:val="left"/>
      </w:pPr>
      <w:r>
        <w:rPr>
          <w:rFonts w:ascii="Times New Roman" w:cs="Times New Roman" w:eastAsia="Times New Roman" w:hAnsi="Times New Roman"/>
          <w:sz w:val="22"/>
          <w:szCs w:val="22"/>
        </w:rPr>
        <w:t xml:space="preserve">La ejecución de este plan requiere un equipo fundador reducido pero multidisciplinario, capaz de cubrir simultáneamente el desarrollo de producto, la relación comercial con centros deportivos e instituciones, y la operación financiera y legal de la empresa. Los nombres específicos de las personas que ocuparán cada posición se definirán durante la etapa de conformación del equipo fundador; a continuación se describe la estructura de roles recomendada.</w:t>
      </w:r>
    </w:p>
    <w:p>
      <w:pPr>
        <w:pStyle w:val="Heading2"/>
        <w:spacing w:after="160" w:before="300"/>
        <w:jc w:val="left"/>
      </w:pPr>
      <w:r>
        <w:rPr>
          <w:rFonts w:ascii="Times New Roman" w:cs="Times New Roman" w:eastAsia="Times New Roman" w:hAnsi="Times New Roman"/>
          <w:b/>
          <w:bCs/>
          <w:color w:val="12314F"/>
          <w:sz w:val="25"/>
          <w:szCs w:val="25"/>
        </w:rPr>
        <w:t xml:space="preserve">14.1 Estructura de Roles — Año 1</w:t>
      </w:r>
    </w:p>
    <w:p>
      <w:pPr>
        <w:spacing w:after="100"/>
        <w:jc w:val="left"/>
      </w:pPr>
      <w:r>
        <w:rPr>
          <w:rFonts w:ascii="Times New Roman" w:cs="Times New Roman" w:eastAsia="Times New Roman" w:hAnsi="Times New Roman"/>
          <w:i/>
          <w:iCs/>
          <w:sz w:val="20"/>
          <w:szCs w:val="20"/>
        </w:rPr>
        <w:t xml:space="preserve">Tabla 18. Estructura organizacional propuesta para el primer año</w:t>
      </w:r>
    </w:p>
    <w:tbl>
      <w:tblPr>
        <w:tblW w:type="dxa" w:w="9500"/>
        <w:tblBorders>
          <w:top w:val="single" w:color="AAB4BF" w:sz="4"/>
          <w:left w:val="single" w:color="AAB4BF" w:sz="4"/>
          <w:bottom w:val="single" w:color="AAB4BF" w:sz="4"/>
          <w:right w:val="single" w:color="AAB4BF" w:sz="4"/>
          <w:insideH w:val="single" w:color="D3D9E0" w:sz="2"/>
          <w:insideV w:val="single" w:color="D3D9E0" w:sz="2"/>
        </w:tblBorders>
      </w:tblPr>
      <w:tblGrid>
        <w:gridCol w:w="2600"/>
        <w:gridCol w:w="3600"/>
        <w:gridCol w:w="3300"/>
      </w:tblGrid>
      <w:tr>
        <w:trPr>
          <w:tblHeader/>
        </w:trPr>
        <w:tc>
          <w:tcPr>
            <w:tcW w:type="dxa" w:w="26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Rol</w:t>
            </w:r>
          </w:p>
        </w:tc>
        <w:tc>
          <w:tcPr>
            <w:tcW w:type="dxa" w:w="36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Responsabilidad principal</w:t>
            </w:r>
          </w:p>
        </w:tc>
        <w:tc>
          <w:tcPr>
            <w:tcW w:type="dxa" w:w="33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Perfil recomendado</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Fundador(a) / CEO</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Visión estratégica, relación con inversionistas, representantes e instituciones públicas</w:t>
            </w:r>
          </w:p>
        </w:tc>
        <w:tc>
          <w:tcPr>
            <w:tcW w:type="dxa" w:w="3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Experiencia en gestión o emprendimiento; conocimiento del ecosistema cusqueño</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CTO / Líder técnico</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Arquitectura tecnológica y liderazgo del equipo de desarrollo</w:t>
            </w:r>
          </w:p>
        </w:tc>
        <w:tc>
          <w:tcPr>
            <w:tcW w:type="dxa" w:w="3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Experiencia previa liderando productos digitales transaccionales</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Desarrollador(a) full-stack</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Desarrollo de las funcionalidades del MVP y mantenimiento continuo</w:t>
            </w:r>
          </w:p>
        </w:tc>
        <w:tc>
          <w:tcPr>
            <w:tcW w:type="dxa" w:w="3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Experiencia con el stack tecnológico descrito en la sección 7.2</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Diseño UX/UI (retainer)</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Diseño de la experiencia de usuario de las tres interfaces de la plataforma</w:t>
            </w:r>
          </w:p>
        </w:tc>
        <w:tc>
          <w:tcPr>
            <w:tcW w:type="dxa" w:w="3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Portafolio en aplicaciones móviles y paneles de administración</w:t>
            </w:r>
          </w:p>
        </w:tc>
      </w:tr>
      <w:tr>
        <w:tc>
          <w:tcPr>
            <w:tcW w:type="dxa" w:w="2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Responsable comercial / Growth</w:t>
            </w:r>
          </w:p>
        </w:tc>
        <w:tc>
          <w:tcPr>
            <w:tcW w:type="dxa" w:w="36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Onboarding de centros deportivos, negociación de alianzas institucionales</w:t>
            </w:r>
          </w:p>
        </w:tc>
        <w:tc>
          <w:tcPr>
            <w:tcW w:type="dxa" w:w="33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Experiencia comercial o en desarrollo de negocios B2B</w:t>
            </w:r>
          </w:p>
        </w:tc>
      </w:tr>
      <w:tr>
        <w:tc>
          <w:tcPr>
            <w:tcW w:type="dxa" w:w="2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Soporte al cliente y marketing digital</w:t>
            </w:r>
          </w:p>
        </w:tc>
        <w:tc>
          <w:tcPr>
            <w:tcW w:type="dxa" w:w="36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Atención a usuarios y centros afiliados; ejecución de campañas de adquisición</w:t>
            </w:r>
          </w:p>
        </w:tc>
        <w:tc>
          <w:tcPr>
            <w:tcW w:type="dxa" w:w="33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Experiencia en atención al cliente y marketing digital</w:t>
            </w:r>
          </w:p>
        </w:tc>
      </w:tr>
    </w:tbl>
    <w:p>
      <w:pPr>
        <w:pStyle w:val="Heading2"/>
        <w:spacing w:after="160" w:before="300"/>
        <w:jc w:val="left"/>
      </w:pPr>
      <w:r>
        <w:rPr>
          <w:rFonts w:ascii="Times New Roman" w:cs="Times New Roman" w:eastAsia="Times New Roman" w:hAnsi="Times New Roman"/>
          <w:b/>
          <w:bCs/>
          <w:color w:val="12314F"/>
          <w:sz w:val="25"/>
          <w:szCs w:val="25"/>
        </w:rPr>
        <w:t xml:space="preserve">14.2 Consejo Asesor</w:t>
      </w:r>
    </w:p>
    <w:p>
      <w:pPr>
        <w:spacing w:after="160" w:line="264" w:lineRule="auto"/>
        <w:ind w:firstLine="720"/>
        <w:jc w:val="left"/>
      </w:pPr>
      <w:r>
        <w:rPr>
          <w:rFonts w:ascii="Times New Roman" w:cs="Times New Roman" w:eastAsia="Times New Roman" w:hAnsi="Times New Roman"/>
          <w:sz w:val="22"/>
          <w:szCs w:val="22"/>
        </w:rPr>
        <w:t xml:space="preserve">Se recomienda constituir un consejo asesor (advisory board) no ejecutivo, compuesto por perfiles complementarios al equipo fundador: una persona con experiencia en el sector deportivo o federativo local, un(a) asesor(a) legal-tributario con experiencia en startups peruanas, y, de ser posible, un(a) mentor(a) con experiencia previa en la construcción de marketplaces o plataformas SaaS en la región. Este consejo aporta credibilidad adicional frente a representantes e inversionistas, sin representar una carga significativa sobre la estructura de costos.</w:t>
      </w:r>
    </w:p>
    <w:p>
      <w:pPr>
        <w:pStyle w:val="Heading2"/>
        <w:spacing w:after="160" w:before="300"/>
        <w:jc w:val="left"/>
      </w:pPr>
      <w:r>
        <w:rPr>
          <w:rFonts w:ascii="Times New Roman" w:cs="Times New Roman" w:eastAsia="Times New Roman" w:hAnsi="Times New Roman"/>
          <w:b/>
          <w:bCs/>
          <w:color w:val="12314F"/>
          <w:sz w:val="25"/>
          <w:szCs w:val="25"/>
        </w:rPr>
        <w:t xml:space="preserve">14.3 Plan de Contratación</w:t>
      </w:r>
    </w:p>
    <w:p>
      <w:pPr>
        <w:spacing w:after="160" w:line="264" w:lineRule="auto"/>
        <w:ind w:firstLine="720"/>
        <w:jc w:val="left"/>
      </w:pPr>
      <w:r>
        <w:rPr>
          <w:rFonts w:ascii="Times New Roman" w:cs="Times New Roman" w:eastAsia="Times New Roman" w:hAnsi="Times New Roman"/>
          <w:sz w:val="22"/>
          <w:szCs w:val="22"/>
        </w:rPr>
        <w:t xml:space="preserve">La estructura de seis posiciones descrita para el Año 1 se ampliará gradualmente conforme la operación se expanda hacia el Valle Sagrado (Fase 3) y hacia Arequipa y Puno (Fase 4), incorporando principalmente posiciones comerciales y de soporte al cliente en cada nueva ciudad, mientras el equipo técnico central permanece en Cusco y escala de forma más gradual gracias a la arquitectura de microservicios descrita en la sección 7.</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15. Estrategia de Marketing y Crecimiento</w:t>
      </w:r>
    </w:p>
    <w:p>
      <w:pPr>
        <w:spacing w:after="160" w:line="264" w:lineRule="auto"/>
        <w:ind w:firstLine="720"/>
        <w:jc w:val="left"/>
      </w:pPr>
      <w:r>
        <w:rPr>
          <w:rFonts w:ascii="Times New Roman" w:cs="Times New Roman" w:eastAsia="Times New Roman" w:hAnsi="Times New Roman"/>
          <w:sz w:val="22"/>
          <w:szCs w:val="22"/>
        </w:rPr>
        <w:t xml:space="preserve">Al tratarse de un mercado de dos lados, la estrategia de marketing de KanchaYA debe atender simultáneamente a la oferta (centros deportivos) y a la demanda (deportistas), reconociendo que el valor de la plataforma para cada lado depende directamente de la densidad del otro.</w:t>
      </w:r>
    </w:p>
    <w:p>
      <w:pPr>
        <w:pStyle w:val="Heading2"/>
        <w:spacing w:after="160" w:before="300"/>
        <w:jc w:val="left"/>
      </w:pPr>
      <w:r>
        <w:rPr>
          <w:rFonts w:ascii="Times New Roman" w:cs="Times New Roman" w:eastAsia="Times New Roman" w:hAnsi="Times New Roman"/>
          <w:b/>
          <w:bCs/>
          <w:color w:val="12314F"/>
          <w:sz w:val="25"/>
          <w:szCs w:val="25"/>
        </w:rPr>
        <w:t xml:space="preserve">15.1 Estrategia de Adquisición — Oferta (Centros Deportivos)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Prospección y visitas presenciales directas a los centros deportivos identificados en el mapeo inicial del mercado cusqueño (sección 4.2), priorizando aquellos con mayor volumen de canchas y mejor ubicación.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Periodo de comisión reducida o gratuita para los primeros centros afiliados ("socios fundadores"), como incentivo de adopción temprana.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Materiales de demostración que cuantifiquen el beneficio esperado en términos de horas de ocupación adicionales y reducción de reservas incumplidas.</w:t>
      </w:r>
    </w:p>
    <w:p>
      <w:pPr>
        <w:pStyle w:val="Heading2"/>
        <w:spacing w:after="160" w:before="300"/>
        <w:jc w:val="left"/>
      </w:pPr>
      <w:r>
        <w:rPr>
          <w:rFonts w:ascii="Times New Roman" w:cs="Times New Roman" w:eastAsia="Times New Roman" w:hAnsi="Times New Roman"/>
          <w:b/>
          <w:bCs/>
          <w:color w:val="12314F"/>
          <w:sz w:val="25"/>
          <w:szCs w:val="25"/>
        </w:rPr>
        <w:t xml:space="preserve">15.2 Estrategia de Adquisición — Demanda (Deportistas)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Marketing digital segmentado (redes sociales, buscadores) dirigido a la población de 18 a 45 años en la ciudad del Cusco.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Programa de referidos con incentivos (por ejemplo, descuento en la siguiente reserva) para que los usuarios inviten a sus grupos habituales de juego.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Alianzas con influenciadores deportivos locales y con ligas barriales existentes para impulsar la adopción inicial dentro de comunidades ya organizadas.</w:t>
      </w:r>
    </w:p>
    <w:p>
      <w:pPr>
        <w:pStyle w:val="Heading2"/>
        <w:spacing w:after="160" w:before="300"/>
        <w:jc w:val="left"/>
      </w:pPr>
      <w:r>
        <w:rPr>
          <w:rFonts w:ascii="Times New Roman" w:cs="Times New Roman" w:eastAsia="Times New Roman" w:hAnsi="Times New Roman"/>
          <w:b/>
          <w:bCs/>
          <w:color w:val="12314F"/>
          <w:sz w:val="25"/>
          <w:szCs w:val="25"/>
        </w:rPr>
        <w:t xml:space="preserve">15.3 Estrategia de Fidelización</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Programa de puntos o beneficios por frecuencia de reserva, canjeables por descuentos o acceso preferente a horarios de alta demanda.</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Comunicación proactiva de nuevos campeonatos y eventos relevantes para los intereses deportivos de cada usuario.</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Atención al cliente cercana y con tiempos de respuesta rápidos durante la etapa de construcción de confianza en el mercado cusqueño.</w:t>
      </w:r>
    </w:p>
    <w:p>
      <w:pPr>
        <w:pStyle w:val="Heading2"/>
        <w:spacing w:after="160" w:before="300"/>
        <w:jc w:val="left"/>
      </w:pPr>
      <w:r>
        <w:rPr>
          <w:rFonts w:ascii="Times New Roman" w:cs="Times New Roman" w:eastAsia="Times New Roman" w:hAnsi="Times New Roman"/>
          <w:b/>
          <w:bCs/>
          <w:color w:val="12314F"/>
          <w:sz w:val="25"/>
          <w:szCs w:val="25"/>
        </w:rPr>
        <w:t xml:space="preserve">15.4 Alianzas Estratégicas</w:t>
      </w:r>
    </w:p>
    <w:p>
      <w:pPr>
        <w:spacing w:after="160" w:line="264" w:lineRule="auto"/>
        <w:ind w:firstLine="720"/>
        <w:jc w:val="left"/>
      </w:pPr>
      <w:r>
        <w:rPr>
          <w:rFonts w:ascii="Times New Roman" w:cs="Times New Roman" w:eastAsia="Times New Roman" w:hAnsi="Times New Roman"/>
          <w:sz w:val="22"/>
          <w:szCs w:val="22"/>
        </w:rPr>
        <w:t xml:space="preserve">Más allá de la relación comercial estándar con centros deportivos, se identifican tres tipos de alianzas de alto valor estratégico para acelerar la adopción de la plataforma:</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Municipalidad Provincial del Cusco: </w:t>
      </w:r>
      <w:r>
        <w:rPr>
          <w:rFonts w:ascii="Times New Roman" w:cs="Times New Roman" w:eastAsia="Times New Roman" w:hAnsi="Times New Roman"/>
          <w:b w:val="false"/>
          <w:bCs w:val="false"/>
          <w:i w:val="false"/>
          <w:iCs w:val="false"/>
          <w:sz w:val="22"/>
          <w:szCs w:val="22"/>
        </w:rPr>
        <w:t xml:space="preserve">convenio de colaboración para la gestión de campeonatos deportivos municipales e infraestructura deportiva pública, con potencial de posicionar a KanchaYA como herramienta oficial de gestión deportiva local.</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Federaciones y ligas deportivas locales: </w:t>
      </w:r>
      <w:r>
        <w:rPr>
          <w:rFonts w:ascii="Times New Roman" w:cs="Times New Roman" w:eastAsia="Times New Roman" w:hAnsi="Times New Roman"/>
          <w:b w:val="false"/>
          <w:bCs w:val="false"/>
          <w:i w:val="false"/>
          <w:iCs w:val="false"/>
          <w:sz w:val="22"/>
          <w:szCs w:val="22"/>
        </w:rPr>
        <w:t xml:space="preserve">alianzas para la organización digital de sus propios campeonatos y ligas.</w:t>
      </w:r>
    </w:p>
    <w:p>
      <w:pPr>
        <w:pStyle w:val="ListParagraph"/>
        <w:numPr>
          <w:ilvl w:val="0"/>
          <w:numId w:val="2"/>
        </w:numPr>
        <w:spacing w:after="90" w:line="252" w:lineRule="auto"/>
        <w:jc w:val="left"/>
      </w:pPr>
      <w:r>
        <w:rPr>
          <w:rFonts w:ascii="Times New Roman" w:cs="Times New Roman" w:eastAsia="Times New Roman" w:hAnsi="Times New Roman"/>
          <w:b/>
          <w:bCs/>
          <w:i w:val="false"/>
          <w:iCs w:val="false"/>
          <w:sz w:val="22"/>
          <w:szCs w:val="22"/>
        </w:rPr>
        <w:t xml:space="preserve">Instituciones educativas: </w:t>
      </w:r>
      <w:r>
        <w:rPr>
          <w:rFonts w:ascii="Times New Roman" w:cs="Times New Roman" w:eastAsia="Times New Roman" w:hAnsi="Times New Roman"/>
          <w:b w:val="false"/>
          <w:bCs w:val="false"/>
          <w:i w:val="false"/>
          <w:iCs w:val="false"/>
          <w:sz w:val="22"/>
          <w:szCs w:val="22"/>
        </w:rPr>
        <w:t xml:space="preserve">colegios y universidades como organizadores frecuentes de campeonatos internos y como fuente de demanda joven y digitalmente activa.</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16. Plan de Implementación (Hoja de Ruta)</w:t>
      </w:r>
    </w:p>
    <w:p>
      <w:pPr>
        <w:spacing w:after="160" w:line="264" w:lineRule="auto"/>
        <w:ind w:firstLine="720"/>
        <w:jc w:val="left"/>
      </w:pPr>
      <w:r>
        <w:rPr>
          <w:rFonts w:ascii="Times New Roman" w:cs="Times New Roman" w:eastAsia="Times New Roman" w:hAnsi="Times New Roman"/>
          <w:sz w:val="22"/>
          <w:szCs w:val="22"/>
        </w:rPr>
        <w:t xml:space="preserve">La implementación de este plan se organiza en seis fases secuenciales a lo largo de un horizonte de 60 meses, alineadas con las fases de alcance descritas en la sección 6.</w:t>
      </w:r>
    </w:p>
    <w:p>
      <w:pPr>
        <w:spacing w:after="80" w:before="12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276475"/>
                    </a:xfrm>
                    <a:prstGeom prst="rect">
                      <a:avLst/>
                    </a:prstGeom>
                  </pic:spPr>
                </pic:pic>
              </a:graphicData>
            </a:graphic>
          </wp:inline>
        </w:drawing>
      </w:r>
    </w:p>
    <w:p>
      <w:pPr>
        <w:spacing w:after="200" w:before="100"/>
        <w:jc w:val="left"/>
      </w:pPr>
      <w:r>
        <w:rPr>
          <w:rFonts w:ascii="Times New Roman" w:cs="Times New Roman" w:eastAsia="Times New Roman" w:hAnsi="Times New Roman"/>
          <w:b/>
          <w:bCs/>
          <w:i/>
          <w:iCs/>
          <w:sz w:val="20"/>
          <w:szCs w:val="20"/>
        </w:rPr>
        <w:t xml:space="preserve">Figura 7</w:t>
      </w:r>
      <w:r>
        <w:rPr>
          <w:rFonts w:ascii="Times New Roman" w:cs="Times New Roman" w:eastAsia="Times New Roman" w:hAnsi="Times New Roman"/>
          <w:i/>
          <w:iCs/>
          <w:sz w:val="20"/>
          <w:szCs w:val="20"/>
        </w:rPr>
        <w:t xml:space="preserve">. Hoja de ruta de implementación del proyecto (60 meses).</w:t>
      </w:r>
    </w:p>
    <w:p>
      <w:pPr>
        <w:spacing w:after="200" w:before="40"/>
        <w:jc w:val="left"/>
      </w:pPr>
      <w:r>
        <w:rPr>
          <w:rFonts w:ascii="Times New Roman" w:cs="Times New Roman" w:eastAsia="Times New Roman" w:hAnsi="Times New Roman"/>
          <w:i/>
          <w:iCs/>
          <w:color w:val="5A6672"/>
          <w:sz w:val="18"/>
          <w:szCs w:val="18"/>
        </w:rPr>
        <w:t xml:space="preserve">Nota. Elaboración propia.</w:t>
      </w:r>
    </w:p>
    <w:p>
      <w:pPr>
        <w:pStyle w:val="Heading2"/>
        <w:spacing w:after="160" w:before="300"/>
        <w:jc w:val="left"/>
      </w:pPr>
      <w:r>
        <w:rPr>
          <w:rFonts w:ascii="Times New Roman" w:cs="Times New Roman" w:eastAsia="Times New Roman" w:hAnsi="Times New Roman"/>
          <w:b/>
          <w:bCs/>
          <w:color w:val="12314F"/>
          <w:sz w:val="25"/>
          <w:szCs w:val="25"/>
        </w:rPr>
        <w:t xml:space="preserve">16.1 Hitos Clave por Fase</w:t>
      </w:r>
    </w:p>
    <w:p>
      <w:pPr>
        <w:spacing w:after="100"/>
        <w:jc w:val="left"/>
      </w:pPr>
      <w:r>
        <w:rPr>
          <w:rFonts w:ascii="Times New Roman" w:cs="Times New Roman" w:eastAsia="Times New Roman" w:hAnsi="Times New Roman"/>
          <w:i/>
          <w:iCs/>
          <w:sz w:val="20"/>
          <w:szCs w:val="20"/>
        </w:rPr>
        <w:t xml:space="preserve">Tabla 19. Hitos clave e indicadores de seguimiento por fase</w:t>
      </w:r>
    </w:p>
    <w:tbl>
      <w:tblPr>
        <w:tblW w:type="dxa" w:w="9100"/>
        <w:tblBorders>
          <w:top w:val="single" w:color="AAB4BF" w:sz="4"/>
          <w:left w:val="single" w:color="AAB4BF" w:sz="4"/>
          <w:bottom w:val="single" w:color="AAB4BF" w:sz="4"/>
          <w:right w:val="single" w:color="AAB4BF" w:sz="4"/>
          <w:insideH w:val="single" w:color="D3D9E0" w:sz="2"/>
          <w:insideV w:val="single" w:color="D3D9E0" w:sz="2"/>
        </w:tblBorders>
      </w:tblPr>
      <w:tblGrid>
        <w:gridCol w:w="2900"/>
        <w:gridCol w:w="1800"/>
        <w:gridCol w:w="4400"/>
      </w:tblGrid>
      <w:tr>
        <w:trPr>
          <w:tblHeader/>
        </w:trPr>
        <w:tc>
          <w:tcPr>
            <w:tcW w:type="dxa" w:w="29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Fase</w:t>
            </w:r>
          </w:p>
        </w:tc>
        <w:tc>
          <w:tcPr>
            <w:tcW w:type="dxa" w:w="18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Horizonte</w:t>
            </w:r>
          </w:p>
        </w:tc>
        <w:tc>
          <w:tcPr>
            <w:tcW w:type="dxa" w:w="4400"/>
            <w:shd w:fill="1F4E79"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19"/>
                <w:szCs w:val="19"/>
              </w:rPr>
              <w:t xml:space="preserve">Hito principal (KPI de salida de fase)</w:t>
            </w:r>
          </w:p>
        </w:tc>
      </w:tr>
      <w:tr>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Fase 0 — Fundacional</w:t>
            </w:r>
          </w:p>
        </w:tc>
        <w:tc>
          <w:tcPr>
            <w:tcW w:type="dxa" w:w="1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Mes 0 – 3</w:t>
            </w:r>
          </w:p>
        </w:tc>
        <w:tc>
          <w:tcPr>
            <w:tcW w:type="dxa" w:w="4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Empresa constituida legalmente; cierre de la ronda de inversión semilla</w:t>
            </w:r>
          </w:p>
        </w:tc>
      </w:tr>
      <w:tr>
        <w:tc>
          <w:tcPr>
            <w:tcW w:type="dxa" w:w="2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Fase 1 — MVP y validación</w:t>
            </w:r>
          </w:p>
        </w:tc>
        <w:tc>
          <w:tcPr>
            <w:tcW w:type="dxa" w:w="1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Mes 3 – 6</w:t>
            </w:r>
          </w:p>
        </w:tc>
        <w:tc>
          <w:tcPr>
            <w:tcW w:type="dxa" w:w="4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MVP desplegado con 15 a 20 centros deportivos piloto activos</w:t>
            </w:r>
          </w:p>
        </w:tc>
      </w:tr>
      <w:tr>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Fase 2 — Lanzamiento Cusco</w:t>
            </w:r>
          </w:p>
        </w:tc>
        <w:tc>
          <w:tcPr>
            <w:tcW w:type="dxa" w:w="1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Mes 6 – 12</w:t>
            </w:r>
          </w:p>
        </w:tc>
        <w:tc>
          <w:tcPr>
            <w:tcW w:type="dxa" w:w="4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45 o más centros deportivos activos; módulo de campeonatos operativo</w:t>
            </w:r>
          </w:p>
        </w:tc>
      </w:tr>
      <w:tr>
        <w:tc>
          <w:tcPr>
            <w:tcW w:type="dxa" w:w="2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Fase 3 — Consolidación</w:t>
            </w:r>
          </w:p>
        </w:tc>
        <w:tc>
          <w:tcPr>
            <w:tcW w:type="dxa" w:w="1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Mes 12 – 20</w:t>
            </w:r>
          </w:p>
        </w:tc>
        <w:tc>
          <w:tcPr>
            <w:tcW w:type="dxa" w:w="4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Expansión a Valle Sagrado y Sicuani; mejora de la eficiencia operativa</w:t>
            </w:r>
          </w:p>
        </w:tc>
      </w:tr>
      <w:tr>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Fase 4 — Expansión regional</w:t>
            </w:r>
          </w:p>
        </w:tc>
        <w:tc>
          <w:tcPr>
            <w:tcW w:type="dxa" w:w="18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Mes 20 – 36</w:t>
            </w:r>
          </w:p>
        </w:tc>
        <w:tc>
          <w:tcPr>
            <w:tcW w:type="dxa" w:w="4400"/>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Ingreso a Arequipa y Puno; punto de equilibrio operativo alcanzado</w:t>
            </w:r>
          </w:p>
        </w:tc>
      </w:tr>
      <w:tr>
        <w:tc>
          <w:tcPr>
            <w:tcW w:type="dxa" w:w="29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Fase 5 — Escalamiento nacional</w:t>
            </w:r>
          </w:p>
        </w:tc>
        <w:tc>
          <w:tcPr>
            <w:tcW w:type="dxa" w:w="18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Mes 36 – 60</w:t>
            </w:r>
          </w:p>
        </w:tc>
        <w:tc>
          <w:tcPr>
            <w:tcW w:type="dxa" w:w="4400"/>
            <w:shd w:fill="F2F5F8" w:val="clear"/>
            <w:tcMar>
              <w:top w:type="dxa" w:w="90"/>
              <w:left w:type="dxa" w:w="110"/>
              <w:bottom w:type="dxa" w:w="90"/>
              <w:right w:type="dxa" w:w="110"/>
            </w:tcMar>
            <w:vAlign w:val="center"/>
          </w:tcPr>
          <w:p>
            <w:pPr>
              <w:jc w:val="left"/>
            </w:pPr>
            <w:r>
              <w:rPr>
                <w:rFonts w:ascii="Times New Roman" w:cs="Times New Roman" w:eastAsia="Times New Roman" w:hAnsi="Times New Roman"/>
                <w:color w:val="1A1A1A"/>
                <w:sz w:val="19"/>
                <w:szCs w:val="19"/>
              </w:rPr>
              <w:t xml:space="preserve">Expansión hacia nuevas regiones del sur y centro del Perú</w:t>
            </w:r>
          </w:p>
        </w:tc>
      </w:tr>
    </w:tbl>
    <w:p>
      <w:pPr>
        <w:pStyle w:val="Heading2"/>
        <w:spacing w:after="160" w:before="300"/>
        <w:jc w:val="left"/>
      </w:pPr>
      <w:r>
        <w:rPr>
          <w:rFonts w:ascii="Times New Roman" w:cs="Times New Roman" w:eastAsia="Times New Roman" w:hAnsi="Times New Roman"/>
          <w:b/>
          <w:bCs/>
          <w:color w:val="12314F"/>
          <w:sz w:val="25"/>
          <w:szCs w:val="25"/>
        </w:rPr>
        <w:t xml:space="preserve">16.2 Indicadores de Seguimiento (KPIs)</w:t>
      </w:r>
    </w:p>
    <w:p>
      <w:pPr>
        <w:spacing w:after="160" w:line="264" w:lineRule="auto"/>
        <w:ind w:firstLine="720"/>
        <w:jc w:val="left"/>
      </w:pPr>
      <w:r>
        <w:rPr>
          <w:rFonts w:ascii="Times New Roman" w:cs="Times New Roman" w:eastAsia="Times New Roman" w:hAnsi="Times New Roman"/>
          <w:sz w:val="22"/>
          <w:szCs w:val="22"/>
        </w:rPr>
        <w:t xml:space="preserve">Se recomienda que el equipo fundador reporte a los representantes e inversionistas, con periodicidad mensual durante el primer año y trimestral en adelante, los siguientes indicadores clave:</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Número de centros deportivos activos y tasa de retención mensual de centros afiliados.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Volumen de reservas procesadas (GMV) y número de usuarios activos mensuales.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Número de campeonatos organizados a través de la plataforma y participantes inscritos.</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Ingresos de la plataforma, desagregados por fuente (comisión, suscripción, campeonatos, publicidad).</w:t>
      </w:r>
    </w:p>
    <w:p>
      <w:pPr>
        <w:pStyle w:val="ListParagraph"/>
        <w:numPr>
          <w:ilvl w:val="0"/>
          <w:numId w:val="2"/>
        </w:numPr>
        <w:spacing w:after="90" w:line="252" w:lineRule="auto"/>
        <w:jc w:val="left"/>
      </w:pPr>
      <w:r>
        <w:rPr>
          <w:rFonts w:ascii="Times New Roman" w:cs="Times New Roman" w:eastAsia="Times New Roman" w:hAnsi="Times New Roman"/>
          <w:sz w:val="22"/>
          <w:szCs w:val="22"/>
        </w:rPr>
        <w:t xml:space="preserve">Costo de adquisición de cliente (CAC) y valor de vida del cliente (LTV), tanto para el lado de la oferta como de la demanda.</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17. Conclusiones</w:t>
      </w:r>
    </w:p>
    <w:p>
      <w:pPr>
        <w:spacing w:after="160" w:line="264" w:lineRule="auto"/>
        <w:ind w:firstLine="720"/>
        <w:jc w:val="left"/>
      </w:pPr>
      <w:r>
        <w:rPr>
          <w:rFonts w:ascii="Times New Roman" w:cs="Times New Roman" w:eastAsia="Times New Roman" w:hAnsi="Times New Roman"/>
          <w:sz w:val="22"/>
          <w:szCs w:val="22"/>
        </w:rPr>
        <w:t xml:space="preserve">KanchaYA propone digitalizar un proceso —la reserva de canchas deportivas y la organización de campeonatos— que en la ciudad del Cusco sigue dependiendo en gran medida de coordinación manual e informal, a pesar de que modelos equivalentes ya han demostrado ser rentables y escalables en otros mercados, desde el liderazgo global de Playtomic en el pádel hasta la validación temprana de aplicativos peruanos como FairPlay.</w:t>
      </w:r>
    </w:p>
    <w:p>
      <w:pPr>
        <w:spacing w:after="160" w:line="264" w:lineRule="auto"/>
        <w:ind w:firstLine="720"/>
        <w:jc w:val="left"/>
      </w:pPr>
      <w:r>
        <w:rPr>
          <w:rFonts w:ascii="Times New Roman" w:cs="Times New Roman" w:eastAsia="Times New Roman" w:hAnsi="Times New Roman"/>
          <w:sz w:val="22"/>
          <w:szCs w:val="22"/>
        </w:rPr>
        <w:t xml:space="preserve">El análisis desarrollado a lo largo de este documento sugiere que existen condiciones favorables para la ejecución de este proyecto: un mercado local con tamaño y capacidad de pago suficientes, una penetración creciente de medios de pago digitales que reduce la principal barrera de adopción, un vacío competitivo específico en el mercado cusqueño, y un modelo de negocio con múltiples fuentes de ingreso que reduce la dependencia de una sola palanca de monetización.</w:t>
      </w:r>
    </w:p>
    <w:p>
      <w:pPr>
        <w:spacing w:after="160" w:line="264" w:lineRule="auto"/>
        <w:ind w:firstLine="720"/>
        <w:jc w:val="left"/>
      </w:pPr>
      <w:r>
        <w:rPr>
          <w:rFonts w:ascii="Times New Roman" w:cs="Times New Roman" w:eastAsia="Times New Roman" w:hAnsi="Times New Roman"/>
          <w:sz w:val="22"/>
          <w:szCs w:val="22"/>
        </w:rPr>
        <w:t xml:space="preserve">Al mismo tiempo, este plan reconoce con honestidad los riesgos inherentes a un proyecto en etapa temprana: la necesidad de convencer a un mercado con hábitos arraigados de adoptar una herramienta digital nueva, la posibilidad de que actores con mayor capital prioricen la expansión hacia el Cusco, y la dependencia de rondas de inversión sucesivas para financiar el crecimiento regional planteado en las fases 4 y 5 del alcance del proyecto.</w:t>
      </w:r>
    </w:p>
    <w:p>
      <w:pPr>
        <w:spacing w:after="160" w:line="264" w:lineRule="auto"/>
        <w:ind w:firstLine="720"/>
        <w:jc w:val="left"/>
      </w:pPr>
      <w:r>
        <w:rPr>
          <w:rFonts w:ascii="Times New Roman" w:cs="Times New Roman" w:eastAsia="Times New Roman" w:hAnsi="Times New Roman"/>
          <w:b w:val="false"/>
          <w:bCs w:val="false"/>
          <w:i w:val="false"/>
          <w:iCs w:val="false"/>
          <w:sz w:val="22"/>
          <w:szCs w:val="22"/>
        </w:rPr>
        <w:t xml:space="preserve">Con una inversión semilla de </w:t>
      </w:r>
      <w:r>
        <w:rPr>
          <w:rFonts w:ascii="Times New Roman" w:cs="Times New Roman" w:eastAsia="Times New Roman" w:hAnsi="Times New Roman"/>
          <w:b/>
          <w:bCs/>
          <w:i w:val="false"/>
          <w:iCs w:val="false"/>
          <w:sz w:val="22"/>
          <w:szCs w:val="22"/>
        </w:rPr>
        <w:t xml:space="preserve">S/ 950,000</w:t>
      </w:r>
      <w:r>
        <w:rPr>
          <w:rFonts w:ascii="Times New Roman" w:cs="Times New Roman" w:eastAsia="Times New Roman" w:hAnsi="Times New Roman"/>
          <w:b w:val="false"/>
          <w:bCs w:val="false"/>
          <w:i w:val="false"/>
          <w:iCs w:val="false"/>
          <w:sz w:val="22"/>
          <w:szCs w:val="22"/>
        </w:rPr>
        <w:t xml:space="preserve">, una valoración pre-money propuesta de </w:t>
      </w:r>
      <w:r>
        <w:rPr>
          <w:rFonts w:ascii="Times New Roman" w:cs="Times New Roman" w:eastAsia="Times New Roman" w:hAnsi="Times New Roman"/>
          <w:b/>
          <w:bCs/>
          <w:i w:val="false"/>
          <w:iCs w:val="false"/>
          <w:sz w:val="22"/>
          <w:szCs w:val="22"/>
        </w:rPr>
        <w:t xml:space="preserve">S/ 2,850,000</w:t>
      </w:r>
      <w:r>
        <w:rPr>
          <w:rFonts w:ascii="Times New Roman" w:cs="Times New Roman" w:eastAsia="Times New Roman" w:hAnsi="Times New Roman"/>
          <w:b w:val="false"/>
          <w:bCs w:val="false"/>
          <w:i w:val="false"/>
          <w:iCs w:val="false"/>
          <w:sz w:val="22"/>
          <w:szCs w:val="22"/>
        </w:rPr>
        <w:t xml:space="preserve"> y un punto de equilibrio operativo proyectado para el tercer año de operación, este documento busca ofrecer a los representantes y potenciales inversionistas una base sólida, transparente y fundamentada para evaluar la viabilidad de KanchaYA y, de ser de su interés, avanzar hacia un proceso de debida diligencia y negociación de los términos definitivos de inversión.</w:t>
      </w:r>
    </w:p>
    <w:p>
      <w:pPr>
        <w:pStyle w:val="Heading1"/>
        <w:pageBreakBefore/>
        <w:spacing w:after="220" w:before="340"/>
        <w:jc w:val="center"/>
      </w:pPr>
      <w:r>
        <w:rPr>
          <w:rFonts w:ascii="Times New Roman" w:cs="Times New Roman" w:eastAsia="Times New Roman" w:hAnsi="Times New Roman"/>
          <w:b/>
          <w:bCs/>
          <w:color w:val="12314F"/>
          <w:sz w:val="27"/>
          <w:szCs w:val="27"/>
        </w:rPr>
        <w:t xml:space="preserve">18. Referencias</w:t>
      </w:r>
    </w:p>
    <w:p>
      <w:pPr>
        <w:spacing w:after="160" w:line="264" w:lineRule="auto"/>
        <w:jc w:val="left"/>
      </w:pPr>
      <w:r>
        <w:rPr>
          <w:rFonts w:ascii="Times New Roman" w:cs="Times New Roman" w:eastAsia="Times New Roman" w:hAnsi="Times New Roman"/>
          <w:sz w:val="22"/>
          <w:szCs w:val="22"/>
        </w:rPr>
        <w:t xml:space="preserve">Las siguientes fuentes fueron consultadas para la elaboración de este documento y se citan en formato APA, 7.ª edición.</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Adratechsystems. (2026, 27 de abril). </w:t>
      </w:r>
      <w:r>
        <w:rPr>
          <w:rFonts w:ascii="Times New Roman" w:cs="Times New Roman" w:eastAsia="Times New Roman" w:hAnsi="Times New Roman"/>
          <w:i/>
          <w:iCs/>
          <w:sz w:val="22"/>
          <w:szCs w:val="22"/>
        </w:rPr>
        <w:t xml:space="preserve">Pasarelas de pago Perú 2026: 8 opciones comparadas (guía)</w:t>
      </w:r>
      <w:r>
        <w:rPr>
          <w:rFonts w:ascii="Times New Roman" w:cs="Times New Roman" w:eastAsia="Times New Roman" w:hAnsi="Times New Roman"/>
          <w:i w:val="false"/>
          <w:iCs w:val="false"/>
          <w:sz w:val="22"/>
          <w:szCs w:val="22"/>
        </w:rPr>
        <w:t xml:space="preserve">. https://adratechsystems.com/recursos/guia-completa-pasarelas-pago-peru-2026</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América Retail. (2025, 4 de octubre). </w:t>
      </w:r>
      <w:r>
        <w:rPr>
          <w:rFonts w:ascii="Times New Roman" w:cs="Times New Roman" w:eastAsia="Times New Roman" w:hAnsi="Times New Roman"/>
          <w:i/>
          <w:iCs/>
          <w:sz w:val="22"/>
          <w:szCs w:val="22"/>
        </w:rPr>
        <w:t xml:space="preserve">Inversión en startups en Perú crece 2025</w:t>
      </w:r>
      <w:r>
        <w:rPr>
          <w:rFonts w:ascii="Times New Roman" w:cs="Times New Roman" w:eastAsia="Times New Roman" w:hAnsi="Times New Roman"/>
          <w:i w:val="false"/>
          <w:iCs w:val="false"/>
          <w:sz w:val="22"/>
          <w:szCs w:val="22"/>
        </w:rPr>
        <w:t xml:space="preserve">. https://america-retail.com/paises/peru/inversion-en-startups-en-peru-crece-2025/</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Congreso de la República del Perú. (2011, 3 de julio). </w:t>
      </w:r>
      <w:r>
        <w:rPr>
          <w:rFonts w:ascii="Times New Roman" w:cs="Times New Roman" w:eastAsia="Times New Roman" w:hAnsi="Times New Roman"/>
          <w:i/>
          <w:iCs/>
          <w:sz w:val="22"/>
          <w:szCs w:val="22"/>
        </w:rPr>
        <w:t xml:space="preserve">Ley N.º 29733, Ley de Protección de Datos Personales</w:t>
      </w:r>
      <w:r>
        <w:rPr>
          <w:rFonts w:ascii="Times New Roman" w:cs="Times New Roman" w:eastAsia="Times New Roman" w:hAnsi="Times New Roman"/>
          <w:i w:val="false"/>
          <w:iCs w:val="false"/>
          <w:sz w:val="22"/>
          <w:szCs w:val="22"/>
        </w:rPr>
        <w:t xml:space="preserve">. Diario Oficial El Peruano.</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El Comercio. (2022, 22 de diciembre). </w:t>
      </w:r>
      <w:r>
        <w:rPr>
          <w:rFonts w:ascii="Times New Roman" w:cs="Times New Roman" w:eastAsia="Times New Roman" w:hAnsi="Times New Roman"/>
          <w:i/>
          <w:iCs/>
          <w:sz w:val="22"/>
          <w:szCs w:val="22"/>
        </w:rPr>
        <w:t xml:space="preserve">FairPlay, la app peruana que permite reservar canchas de fútbol en menos de dos minutos</w:t>
      </w:r>
      <w:r>
        <w:rPr>
          <w:rFonts w:ascii="Times New Roman" w:cs="Times New Roman" w:eastAsia="Times New Roman" w:hAnsi="Times New Roman"/>
          <w:i w:val="false"/>
          <w:iCs w:val="false"/>
          <w:sz w:val="22"/>
          <w:szCs w:val="22"/>
        </w:rPr>
        <w:t xml:space="preserve">. https://elcomercio.pe/tecnologia/actualidad/fairplay-la-app-peruana-que-permite-reservar-canchas-de-futbol-en-menos-de-dos-minutos-aplicaciones-celulares-moviles-espana-mexico-colombia-noticia/</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EY Perú. (2026). </w:t>
      </w:r>
      <w:r>
        <w:rPr>
          <w:rFonts w:ascii="Times New Roman" w:cs="Times New Roman" w:eastAsia="Times New Roman" w:hAnsi="Times New Roman"/>
          <w:i/>
          <w:iCs/>
          <w:sz w:val="22"/>
          <w:szCs w:val="22"/>
        </w:rPr>
        <w:t xml:space="preserve">Nuevo valor de la UIT 2026: ¿cómo impacta este aumento a las empresas?</w:t>
      </w:r>
      <w:r>
        <w:rPr>
          <w:rFonts w:ascii="Times New Roman" w:cs="Times New Roman" w:eastAsia="Times New Roman" w:hAnsi="Times New Roman"/>
          <w:i w:val="false"/>
          <w:iCs w:val="false"/>
          <w:sz w:val="22"/>
          <w:szCs w:val="22"/>
        </w:rPr>
        <w:t xml:space="preserve"> https://www.ey.com/es_pe/insights/tax/nuevo-valor-uit-como-impacta</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Forbes México. (2024, 6 de diciembre). </w:t>
      </w:r>
      <w:r>
        <w:rPr>
          <w:rFonts w:ascii="Times New Roman" w:cs="Times New Roman" w:eastAsia="Times New Roman" w:hAnsi="Times New Roman"/>
          <w:i/>
          <w:iCs/>
          <w:sz w:val="22"/>
          <w:szCs w:val="22"/>
        </w:rPr>
        <w:t xml:space="preserve">Conoce el negocio mundial de la reserva de campos deportivos, incluso de tenis y pádel</w:t>
      </w:r>
      <w:r>
        <w:rPr>
          <w:rFonts w:ascii="Times New Roman" w:cs="Times New Roman" w:eastAsia="Times New Roman" w:hAnsi="Times New Roman"/>
          <w:i w:val="false"/>
          <w:iCs w:val="false"/>
          <w:sz w:val="22"/>
          <w:szCs w:val="22"/>
        </w:rPr>
        <w:t xml:space="preserve">. https://forbes.com.mx/conoce-el-negocio-mundial-de-la-reserva-de-campos-deportivos-incluso-de-tenis-y-padel/</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Gestión. (2026, 11 de junio). </w:t>
      </w:r>
      <w:r>
        <w:rPr>
          <w:rFonts w:ascii="Times New Roman" w:cs="Times New Roman" w:eastAsia="Times New Roman" w:hAnsi="Times New Roman"/>
          <w:i/>
          <w:iCs/>
          <w:sz w:val="22"/>
          <w:szCs w:val="22"/>
        </w:rPr>
        <w:t xml:space="preserve">Más de 881 startups necesitan fondos por US$ 1,100 millones, ¿sobrevivirán sin ese capital?</w:t>
      </w:r>
      <w:r>
        <w:rPr>
          <w:rFonts w:ascii="Times New Roman" w:cs="Times New Roman" w:eastAsia="Times New Roman" w:hAnsi="Times New Roman"/>
          <w:i w:val="false"/>
          <w:iCs w:val="false"/>
          <w:sz w:val="22"/>
          <w:szCs w:val="22"/>
        </w:rPr>
        <w:t xml:space="preserve"> https://gestion.pe/tu-dinero/mas-de-881-startup-necesitan-fondos-por-us-1100-millones-sobreviviran-sin-ese-capital-noticia/</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Instituto Nacional de Estadística e Informática. (2018). </w:t>
      </w:r>
      <w:r>
        <w:rPr>
          <w:rFonts w:ascii="Times New Roman" w:cs="Times New Roman" w:eastAsia="Times New Roman" w:hAnsi="Times New Roman"/>
          <w:i/>
          <w:iCs/>
          <w:sz w:val="22"/>
          <w:szCs w:val="22"/>
        </w:rPr>
        <w:t xml:space="preserve">Perú: Resultados definitivos de los censos nacionales 2017 – Cusco</w:t>
      </w:r>
      <w:r>
        <w:rPr>
          <w:rFonts w:ascii="Times New Roman" w:cs="Times New Roman" w:eastAsia="Times New Roman" w:hAnsi="Times New Roman"/>
          <w:i w:val="false"/>
          <w:iCs w:val="false"/>
          <w:sz w:val="22"/>
          <w:szCs w:val="22"/>
        </w:rPr>
        <w:t xml:space="preserve">. https://www.inei.gob.pe/media/MenuRecursivo/publicaciones_digitales/Est/Lib1559/08TOMO_01.pdf</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Kom.pe. (2026). </w:t>
      </w:r>
      <w:r>
        <w:rPr>
          <w:rFonts w:ascii="Times New Roman" w:cs="Times New Roman" w:eastAsia="Times New Roman" w:hAnsi="Times New Roman"/>
          <w:i/>
          <w:iCs/>
          <w:sz w:val="22"/>
          <w:szCs w:val="22"/>
        </w:rPr>
        <w:t xml:space="preserve">Ley 29733 de Protección de Datos Personales: ¿Qué dice y cómo te afecta?</w:t>
      </w:r>
      <w:r>
        <w:rPr>
          <w:rFonts w:ascii="Times New Roman" w:cs="Times New Roman" w:eastAsia="Times New Roman" w:hAnsi="Times New Roman"/>
          <w:i w:val="false"/>
          <w:iCs w:val="false"/>
          <w:sz w:val="22"/>
          <w:szCs w:val="22"/>
        </w:rPr>
        <w:t xml:space="preserve"> https://kom.pe/ley-29733-proteccion-datos-personales/</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Ministerio de Economía y Finanzas. (2025, 17 de diciembre). </w:t>
      </w:r>
      <w:r>
        <w:rPr>
          <w:rFonts w:ascii="Times New Roman" w:cs="Times New Roman" w:eastAsia="Times New Roman" w:hAnsi="Times New Roman"/>
          <w:i/>
          <w:iCs/>
          <w:sz w:val="22"/>
          <w:szCs w:val="22"/>
        </w:rPr>
        <w:t xml:space="preserve">MEF establece en S/ 5500 el valor de la UIT para el año 2026</w:t>
      </w:r>
      <w:r>
        <w:rPr>
          <w:rFonts w:ascii="Times New Roman" w:cs="Times New Roman" w:eastAsia="Times New Roman" w:hAnsi="Times New Roman"/>
          <w:i w:val="false"/>
          <w:iCs w:val="false"/>
          <w:sz w:val="22"/>
          <w:szCs w:val="22"/>
        </w:rPr>
        <w:t xml:space="preserve"> [Nota de prensa]. Plataforma del Estado Peruano. https://www.gob.pe/institucion/mef/noticias/1314665-mef-establece-en-s-5500-el-valor-de-la-uit-para-el-ano-2026</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Osterwalder, A., &amp; Pigneur, Y. (2010). </w:t>
      </w:r>
      <w:r>
        <w:rPr>
          <w:rFonts w:ascii="Times New Roman" w:cs="Times New Roman" w:eastAsia="Times New Roman" w:hAnsi="Times New Roman"/>
          <w:i/>
          <w:iCs/>
          <w:sz w:val="22"/>
          <w:szCs w:val="22"/>
        </w:rPr>
        <w:t xml:space="preserve">Business model generation: A handbook for visionaries, game changers, and challengers</w:t>
      </w:r>
      <w:r>
        <w:rPr>
          <w:rFonts w:ascii="Times New Roman" w:cs="Times New Roman" w:eastAsia="Times New Roman" w:hAnsi="Times New Roman"/>
          <w:i w:val="false"/>
          <w:iCs w:val="false"/>
          <w:sz w:val="22"/>
          <w:szCs w:val="22"/>
        </w:rPr>
        <w:t xml:space="preserve">. John Wiley &amp; Sons.</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Revista Gana Más. (2025). </w:t>
      </w:r>
      <w:r>
        <w:rPr>
          <w:rFonts w:ascii="Times New Roman" w:cs="Times New Roman" w:eastAsia="Times New Roman" w:hAnsi="Times New Roman"/>
          <w:i/>
          <w:iCs/>
          <w:sz w:val="22"/>
          <w:szCs w:val="22"/>
        </w:rPr>
        <w:t xml:space="preserve">PECAP celebra 10 años impulsando inversión en startups y conexión público-privada</w:t>
      </w:r>
      <w:r>
        <w:rPr>
          <w:rFonts w:ascii="Times New Roman" w:cs="Times New Roman" w:eastAsia="Times New Roman" w:hAnsi="Times New Roman"/>
          <w:i w:val="false"/>
          <w:iCs w:val="false"/>
          <w:sz w:val="22"/>
          <w:szCs w:val="22"/>
        </w:rPr>
        <w:t xml:space="preserve">. https://revistaganamas.com.pe/pecap-celebra-10-anos-impulsando-inversion-en-startups-y-conexion-publico-privada/</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Riqra. (2026). </w:t>
      </w:r>
      <w:r>
        <w:rPr>
          <w:rFonts w:ascii="Times New Roman" w:cs="Times New Roman" w:eastAsia="Times New Roman" w:hAnsi="Times New Roman"/>
          <w:i/>
          <w:iCs/>
          <w:sz w:val="22"/>
          <w:szCs w:val="22"/>
        </w:rPr>
        <w:t xml:space="preserve">Pasarelas de pago en Perú 2026: guía completa, comisiones y cuál conviene a tu negocio</w:t>
      </w:r>
      <w:r>
        <w:rPr>
          <w:rFonts w:ascii="Times New Roman" w:cs="Times New Roman" w:eastAsia="Times New Roman" w:hAnsi="Times New Roman"/>
          <w:i w:val="false"/>
          <w:iCs w:val="false"/>
          <w:sz w:val="22"/>
          <w:szCs w:val="22"/>
        </w:rPr>
        <w:t xml:space="preserve">. https://blog.riqra.com/posts/pasarelas-pago-online-peru</w:t>
      </w:r>
    </w:p>
    <w:p>
      <w:pPr>
        <w:spacing w:after="200" w:line="264" w:lineRule="auto"/>
        <w:ind w:left="720" w:hanging="720"/>
        <w:jc w:val="left"/>
      </w:pPr>
      <w:r>
        <w:rPr>
          <w:rFonts w:ascii="Times New Roman" w:cs="Times New Roman" w:eastAsia="Times New Roman" w:hAnsi="Times New Roman"/>
          <w:i w:val="false"/>
          <w:iCs w:val="false"/>
          <w:sz w:val="22"/>
          <w:szCs w:val="22"/>
        </w:rPr>
        <w:t xml:space="preserve">TrámitesPerú. (2026, 24 de abril). </w:t>
      </w:r>
      <w:r>
        <w:rPr>
          <w:rFonts w:ascii="Times New Roman" w:cs="Times New Roman" w:eastAsia="Times New Roman" w:hAnsi="Times New Roman"/>
          <w:i/>
          <w:iCs/>
          <w:sz w:val="22"/>
          <w:szCs w:val="22"/>
        </w:rPr>
        <w:t xml:space="preserve">Constituir empresa SUNARP 2026 — SACS desde S/18.70, SAC/SRL/EIRL por SID-SUNARP en 24-72h</w:t>
      </w:r>
      <w:r>
        <w:rPr>
          <w:rFonts w:ascii="Times New Roman" w:cs="Times New Roman" w:eastAsia="Times New Roman" w:hAnsi="Times New Roman"/>
          <w:i w:val="false"/>
          <w:iCs w:val="false"/>
          <w:sz w:val="22"/>
          <w:szCs w:val="22"/>
        </w:rPr>
        <w:t xml:space="preserve">. https://tramitesperu.com/sunarp/constitucion-empresa/</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4BF" w:sz="4" w:space="4"/>
      </w:pBdr>
      <w:jc w:val="center"/>
    </w:pPr>
    <w:r>
      <w:rPr>
        <w:rFonts w:ascii="Times New Roman" w:cs="Times New Roman" w:eastAsia="Times New Roman" w:hAnsi="Times New Roman"/>
        <w:color w:val="5A6672"/>
        <w:sz w:val="16"/>
        <w:szCs w:val="16"/>
      </w:rPr>
      <w:t xml:space="preserve">Página </w:t>
    </w:r>
    <w:r>
      <w:rPr>
        <w:rFonts w:ascii="Times New Roman" w:cs="Times New Roman" w:eastAsia="Times New Roman" w:hAnsi="Times New Roman"/>
        <w:color w:val="5A6672"/>
        <w:sz w:val="16"/>
        <w:szCs w:val="16"/>
      </w:rPr>
      <w:fldChar w:fldCharType="begin"/>
      <w:instrText xml:space="preserve">PAGE</w:instrText>
      <w:fldChar w:fldCharType="separate"/>
      <w:fldChar w:fldCharType="end"/>
    </w:r>
    <w:r>
      <w:rPr>
        <w:rFonts w:ascii="Times New Roman" w:cs="Times New Roman" w:eastAsia="Times New Roman" w:hAnsi="Times New Roman"/>
        <w:color w:val="5A6672"/>
        <w:sz w:val="16"/>
        <w:szCs w:val="16"/>
      </w:rPr>
      <w:t xml:space="preserve"> de </w:t>
    </w:r>
    <w:r>
      <w:rPr>
        <w:rFonts w:ascii="Times New Roman" w:cs="Times New Roman" w:eastAsia="Times New Roman" w:hAnsi="Times New Roman"/>
        <w:color w:val="5A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4BF" w:sz="4" w:space="4"/>
      </w:pBdr>
      <w:tabs>
        <w:tab w:val="right" w:pos="9026"/>
      </w:tabs>
    </w:pPr>
    <w:r>
      <w:rPr>
        <w:rFonts w:ascii="Times New Roman" w:cs="Times New Roman" w:eastAsia="Times New Roman" w:hAnsi="Times New Roman"/>
        <w:color w:val="5A6672"/>
        <w:sz w:val="16"/>
        <w:szCs w:val="16"/>
      </w:rPr>
      <w:t xml:space="preserve">KanchaYA — Plan de Negocios</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A6672"/>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2314F"/>
      <w:sz w:val="27"/>
      <w:szCs w:val="27"/>
    </w:rPr>
  </w:style>
  <w:style w:type="paragraph" w:styleId="Heading2">
    <w:name w:val="Heading 2"/>
    <w:basedOn w:val="Normal"/>
    <w:next w:val="Normal"/>
    <w:qFormat/>
    <w:rPr>
      <w:rFonts w:ascii="Times New Roman" w:cs="Times New Roman" w:eastAsia="Times New Roman" w:hAnsi="Times New Roman"/>
      <w:b/>
      <w:bCs/>
      <w:color w:val="12314F"/>
      <w:sz w:val="25"/>
      <w:szCs w:val="25"/>
    </w:rPr>
  </w:style>
  <w:style w:type="paragraph" w:styleId="Heading3">
    <w:name w:val="Heading 3"/>
    <w:basedOn w:val="Normal"/>
    <w:next w:val="Normal"/>
    <w:qFormat/>
    <w:rPr>
      <w:rFonts w:ascii="Times New Roman" w:cs="Times New Roman" w:eastAsia="Times New Roman" w:hAnsi="Times New Roman"/>
      <w:b/>
      <w:bCs/>
      <w:i/>
      <w:iCs/>
      <w:color w:val="1F4E79"/>
      <w:sz w:val="23"/>
      <w:szCs w:val="23"/>
    </w:rPr>
  </w:style>
  <w:style w:type="paragraph" w:styleId="Heading4">
    <w:name w:val="Heading 4"/>
    <w:basedOn w:val="Normal"/>
    <w:next w:val="Normal"/>
    <w:qFormat/>
    <w:rPr>
      <w:rFonts w:ascii="Times New Roman" w:cs="Times New Roman" w:eastAsia="Times New Roman" w:hAnsi="Times New Roman"/>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24f033bb048b0c6c19ea14de4b5dd4767bba199.png"/><Relationship Id="rId12" Type="http://schemas.openxmlformats.org/officeDocument/2006/relationships/image" Target="media/69498f13850e91b5c4c9234bdd1a029006a97c35.png"/><Relationship Id="rId13" Type="http://schemas.openxmlformats.org/officeDocument/2006/relationships/image" Target="media/133538ba68c4ae1b0b0fc8ed67d72ce0538163f1.png"/><Relationship Id="rId14" Type="http://schemas.openxmlformats.org/officeDocument/2006/relationships/image" Target="media/20f5d983476718cb6dd5bedae662c5b0bb8a786b.png"/><Relationship Id="rId15" Type="http://schemas.openxmlformats.org/officeDocument/2006/relationships/image" Target="media/f258d3402fbbc7ac03411bf47eea485f70f537ac.png"/><Relationship Id="rId16" Type="http://schemas.openxmlformats.org/officeDocument/2006/relationships/image" Target="media/d75023d99d1def68809dcfd71d759787edf5cecf.png"/><Relationship Id="rId17" Type="http://schemas.openxmlformats.org/officeDocument/2006/relationships/image" Target="media/2b78dc32d8d09b53e8d59f7062763f01998658b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Negocios — KanchaYA</dc:title>
  <dc:creator>KanchaYA</dc:creator>
  <dc:description>Plataforma SaaS de reserva de canchas deportivas y gestión de campeonatos para el Cusco</dc:description>
  <cp:lastModifiedBy>Un-named</cp:lastModifiedBy>
  <cp:revision>1</cp:revision>
  <dcterms:created xsi:type="dcterms:W3CDTF">2026-08-15T18:25:37.736Z</dcterms:created>
  <dcterms:modified xsi:type="dcterms:W3CDTF">2026-08-15T18:25:37.736Z</dcterms:modified>
</cp:coreProperties>
</file>

<file path=docProps/custom.xml><?xml version="1.0" encoding="utf-8"?>
<Properties xmlns="http://schemas.openxmlformats.org/officeDocument/2006/custom-properties" xmlns:vt="http://schemas.openxmlformats.org/officeDocument/2006/docPropsVTypes"/>
</file>