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Calibri" w:cs="Calibri" w:eastAsia="Calibri" w:hAnsi="Calibri"/>
          <w:b/>
          <w:bCs/>
          <w:color w:val="2E5C8A"/>
          <w:spacing w:val="20"/>
          <w:sz w:val="20"/>
          <w:szCs w:val="20"/>
        </w:rPr>
        <w:t xml:space="preserve">PLAN DE PROYECTO  ·  CONSTRUCCIÓN DE SISTEMA SAAS</w:t>
      </w:r>
    </w:p>
    <w:p>
      <w:pPr>
        <w:spacing w:after="160"/>
      </w:pPr>
    </w:p>
    <w:p>
      <w:pPr>
        <w:jc w:val="center"/>
      </w:pPr>
      <w:r>
        <w:rPr>
          <w:rFonts w:ascii="Calibri" w:cs="Calibri" w:eastAsia="Calibri" w:hAnsi="Calibri"/>
          <w:b/>
          <w:bCs/>
          <w:color w:val="173F32"/>
          <w:sz w:val="84"/>
          <w:szCs w:val="84"/>
        </w:rPr>
        <w:t xml:space="preserve">KanchaYA</w:t>
      </w:r>
    </w:p>
    <w:p>
      <w:pPr>
        <w:spacing w:before="120"/>
        <w:jc w:val="center"/>
      </w:pPr>
      <w:r>
        <w:rPr>
          <w:rFonts w:ascii="Calibri" w:cs="Calibri" w:eastAsia="Calibri" w:hAnsi="Calibri"/>
          <w:i/>
          <w:iCs/>
          <w:color w:val="1F6F4A"/>
          <w:sz w:val="26"/>
          <w:szCs w:val="26"/>
        </w:rPr>
        <w:t xml:space="preserve">Reserva. Juega. Compite.</w:t>
      </w:r>
    </w:p>
    <w:p>
      <w:pPr>
        <w:spacing w:after="500"/>
      </w:pPr>
    </w:p>
    <w:p>
      <w:pPr>
        <w:jc w:val="center"/>
      </w:pPr>
      <w:r>
        <w:rPr>
          <w:rFonts w:ascii="Calibri" w:cs="Calibri" w:eastAsia="Calibri" w:hAnsi="Calibri"/>
          <w:b/>
          <w:bCs/>
          <w:color w:val="232323"/>
          <w:sz w:val="30"/>
          <w:szCs w:val="30"/>
        </w:rPr>
        <w:t xml:space="preserve">PLAN DE PROYECTO DE CONSTRUCCIÓN DEL SISTEMA</w:t>
      </w:r>
    </w:p>
    <w:p>
      <w:pPr>
        <w:spacing w:before="160"/>
        <w:ind w:left="900" w:right="900"/>
        <w:jc w:val="center"/>
      </w:pPr>
      <w:r>
        <w:rPr>
          <w:rFonts w:ascii="Calibri" w:cs="Calibri" w:eastAsia="Calibri" w:hAnsi="Calibri"/>
          <w:i/>
          <w:iCs/>
          <w:color w:val="5B5B5B"/>
          <w:sz w:val="22"/>
          <w:szCs w:val="22"/>
        </w:rPr>
        <w:t xml:space="preserve">Del backlog de requerimientos a la operación en producción: hoja de ruta técnica bajo el marco de trabajo Scrum y prácticas de desarrollo ágil / DevOps</w:t>
      </w:r>
    </w:p>
    <w:p>
      <w:pPr>
        <w:spacing w:after="700"/>
      </w:pPr>
    </w:p>
    <w:p>
      <w:pPr>
        <w:jc w:val="center"/>
      </w:pPr>
      <w:r>
        <w:rPr>
          <w:rFonts w:ascii="Calibri" w:cs="Calibri" w:eastAsia="Calibri" w:hAnsi="Calibri"/>
          <w:color w:val="232323"/>
          <w:sz w:val="21"/>
          <w:szCs w:val="21"/>
        </w:rPr>
        <w:t xml:space="preserve">Documento presentado a:</w:t>
      </w:r>
    </w:p>
    <w:p>
      <w:pPr>
        <w:spacing w:before="80"/>
        <w:jc w:val="center"/>
      </w:pPr>
      <w:r>
        <w:rPr>
          <w:rFonts w:ascii="Calibri" w:cs="Calibri" w:eastAsia="Calibri" w:hAnsi="Calibri"/>
          <w:b/>
          <w:bCs/>
          <w:color w:val="232323"/>
          <w:sz w:val="22"/>
          <w:szCs w:val="22"/>
        </w:rPr>
        <w:t xml:space="preserve">Equipo fundador, Product Owner, Scrum Master, equipo de desarrollo y proveedores tecnológicos de KanchaYA</w:t>
      </w:r>
    </w:p>
    <w:p>
      <w:pPr>
        <w:spacing w:after="700"/>
      </w:pPr>
    </w:p>
    <w:p>
      <w:pPr>
        <w:jc w:val="center"/>
      </w:pPr>
      <w:r>
        <w:rPr>
          <w:rFonts w:ascii="Calibri" w:cs="Calibri" w:eastAsia="Calibri" w:hAnsi="Calibri"/>
          <w:color w:val="232323"/>
          <w:sz w:val="21"/>
          <w:szCs w:val="21"/>
        </w:rPr>
        <w:t xml:space="preserve">KanchaYA S.A.C. (empresa en constitución)</w:t>
      </w:r>
    </w:p>
    <w:p>
      <w:pPr>
        <w:jc w:val="center"/>
      </w:pPr>
      <w:r>
        <w:rPr>
          <w:rFonts w:ascii="Calibri" w:cs="Calibri" w:eastAsia="Calibri" w:hAnsi="Calibri"/>
          <w:color w:val="232323"/>
          <w:sz w:val="21"/>
          <w:szCs w:val="21"/>
        </w:rPr>
        <w:t xml:space="preserve">Cusco, Perú</w:t>
      </w:r>
    </w:p>
    <w:p>
      <w:pPr>
        <w:spacing w:before="40"/>
        <w:jc w:val="center"/>
      </w:pPr>
      <w:r>
        <w:rPr>
          <w:rFonts w:ascii="Calibri" w:cs="Calibri" w:eastAsia="Calibri" w:hAnsi="Calibri"/>
          <w:color w:val="232323"/>
          <w:sz w:val="21"/>
          <w:szCs w:val="21"/>
        </w:rPr>
        <w:t xml:space="preserve">Agosto de 2026</w:t>
      </w:r>
    </w:p>
    <w:p>
      <w:pPr>
        <w:spacing w:after="300"/>
      </w:pPr>
    </w:p>
    <w:p>
      <w:pPr>
        <w:jc w:val="center"/>
      </w:pPr>
      <w:r>
        <w:rPr>
          <w:rFonts w:ascii="Calibri" w:cs="Calibri" w:eastAsia="Calibri" w:hAnsi="Calibri"/>
          <w:i/>
          <w:iCs/>
          <w:color w:val="8A8A8A"/>
          <w:sz w:val="17"/>
          <w:szCs w:val="17"/>
        </w:rPr>
        <w:t xml:space="preserve">Documento técnico complementario al Plan de Negocios KanchaYA v1.0</w:t>
      </w:r>
    </w:p>
    <w:p>
      <w:pPr>
        <w:sectPr>
          <w:pgSz w:w="11906" w:h="16838" w:orient="portrait"/>
          <w:pgMar w:top="1417" w:right="1417" w:bottom="1417" w:left="1417" w:header="708" w:footer="708" w:gutter="0"/>
          <w:pgNumType/>
          <w:docGrid w:linePitch="360"/>
        </w:sectPr>
      </w:pPr>
    </w:p>
    <w:p>
      <w:pPr>
        <w:pStyle w:val="Heading1"/>
        <w:pBdr>
          <w:bottom w:val="single" w:color="1F6F4A" w:sz="14" w:space="8"/>
        </w:pBdr>
        <w:spacing w:after="260" w:before="0"/>
      </w:pPr>
      <w:r>
        <w:rPr>
          <w:rFonts w:ascii="Calibri" w:cs="Calibri" w:eastAsia="Calibri" w:hAnsi="Calibri"/>
          <w:b/>
          <w:bCs/>
          <w:color w:val="173F32"/>
          <w:sz w:val="32"/>
          <w:szCs w:val="32"/>
        </w:rPr>
        <w:t xml:space="preserve">Ficha del Documento</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2721"/>
        <w:gridCol w:w="6351"/>
      </w:tblGrid>
      <w:tr>
        <w:trPr>
          <w:cantSplit/>
        </w:trPr>
        <w:tc>
          <w:tcPr>
            <w:tcW w:type="dxa" w:w="2721"/>
            <w:shd w:fill="FFFFFF"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Título del documento</w:t>
            </w:r>
          </w:p>
        </w:tc>
        <w:tc>
          <w:tcPr>
            <w:tcW w:type="dxa" w:w="6351"/>
            <w:shd w:fill="FFFFFF"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Plan de Proyecto — KanchaYA: construcción del sistema bajo metodología ágil Scrum</w:t>
            </w:r>
          </w:p>
        </w:tc>
      </w:tr>
      <w:tr>
        <w:trPr>
          <w:cantSplit/>
        </w:trPr>
        <w:tc>
          <w:tcPr>
            <w:tcW w:type="dxa" w:w="2721"/>
            <w:shd w:fill="F1F5F3"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Documento base relacionado</w:t>
            </w:r>
          </w:p>
        </w:tc>
        <w:tc>
          <w:tcPr>
            <w:tcW w:type="dxa" w:w="6351"/>
            <w:shd w:fill="F1F5F3"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Plan de Negocios KanchaYA v1.0 (agosto de 2026). Este documento no reemplaza dicho plan: lo </w:t>
            </w:r>
            <w:r>
              <w:rPr>
                <w:rFonts w:ascii="Calibri" w:cs="Calibri" w:eastAsia="Calibri" w:hAnsi="Calibri"/>
                <w:b/>
                <w:bCs/>
                <w:color w:val="232323"/>
                <w:sz w:val="19"/>
                <w:szCs w:val="19"/>
              </w:rPr>
              <w:t xml:space="preserve">operacionaliza</w:t>
            </w:r>
            <w:r>
              <w:rPr>
                <w:rFonts w:ascii="Calibri" w:cs="Calibri" w:eastAsia="Calibri" w:hAnsi="Calibri"/>
                <w:color w:val="232323"/>
                <w:sz w:val="19"/>
                <w:szCs w:val="19"/>
              </w:rPr>
              <w:t xml:space="preserve"> en un plan de construcción técnica ejecutable por el equipo de desarrollo.</w:t>
            </w:r>
          </w:p>
        </w:tc>
      </w:tr>
      <w:tr>
        <w:trPr>
          <w:cantSplit/>
        </w:trPr>
        <w:tc>
          <w:tcPr>
            <w:tcW w:type="dxa" w:w="2721"/>
            <w:shd w:fill="FFFFFF"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Metodología de gestión de proyecto</w:t>
            </w:r>
          </w:p>
        </w:tc>
        <w:tc>
          <w:tcPr>
            <w:tcW w:type="dxa" w:w="6351"/>
            <w:shd w:fill="FFFFFF"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Scrum (marco ágil de referencia), complementado con prácticas de Extreme Programming (XP) e integración/entrega continua (CI/CD, DevOps)</w:t>
            </w:r>
          </w:p>
        </w:tc>
      </w:tr>
      <w:tr>
        <w:trPr>
          <w:cantSplit/>
        </w:trPr>
        <w:tc>
          <w:tcPr>
            <w:tcW w:type="dxa" w:w="2721"/>
            <w:shd w:fill="F1F5F3"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Alcance del documento</w:t>
            </w:r>
          </w:p>
        </w:tc>
        <w:tc>
          <w:tcPr>
            <w:tcW w:type="dxa" w:w="6351"/>
            <w:shd w:fill="F1F5F3"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Ciclo de vida completo de construcción del software: ingeniería de requerimientos, diseño (UX/UI y arquitectura), preparación de entorno, desarrollo iterativo, aseguramiento de calidad, despliegue y operación con gestión de cambios y parches</w:t>
            </w:r>
          </w:p>
        </w:tc>
      </w:tr>
      <w:tr>
        <w:trPr>
          <w:cantSplit/>
        </w:trPr>
        <w:tc>
          <w:tcPr>
            <w:tcW w:type="dxa" w:w="2721"/>
            <w:shd w:fill="FFFFFF"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Audiencia principal</w:t>
            </w:r>
          </w:p>
        </w:tc>
        <w:tc>
          <w:tcPr>
            <w:tcW w:type="dxa" w:w="6351"/>
            <w:shd w:fill="FFFFFF"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Equipo fundador, Product Owner, Scrum Master, equipo de desarrollo, proveedores tecnológicos externos y representantes con interés en el avance técnico del proyecto</w:t>
            </w:r>
          </w:p>
        </w:tc>
      </w:tr>
      <w:tr>
        <w:trPr>
          <w:cantSplit/>
        </w:trPr>
        <w:tc>
          <w:tcPr>
            <w:tcW w:type="dxa" w:w="2721"/>
            <w:shd w:fill="F1F5F3"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Horizonte cubierto</w:t>
            </w:r>
          </w:p>
        </w:tc>
        <w:tc>
          <w:tcPr>
            <w:tcW w:type="dxa" w:w="6351"/>
            <w:shd w:fill="F1F5F3"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Detalle operativo de la Fase 0 a la Fase 2 del alcance de negocio (meses 0 a 12); lineamientos de mantenimiento continuo aplicables a las fases 3 a 5</w:t>
            </w:r>
          </w:p>
        </w:tc>
      </w:tr>
      <w:tr>
        <w:trPr>
          <w:cantSplit/>
        </w:trPr>
        <w:tc>
          <w:tcPr>
            <w:tcW w:type="dxa" w:w="2721"/>
            <w:shd w:fill="FFFFFF"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Cadencia de trabajo propuesta</w:t>
            </w:r>
          </w:p>
        </w:tc>
        <w:tc>
          <w:tcPr>
            <w:tcW w:type="dxa" w:w="6351"/>
            <w:shd w:fill="FFFFFF"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Sprints de 2 semanas (10 días hábiles), con ceremonias Scrum de duración fija (timeboxed)</w:t>
            </w:r>
          </w:p>
        </w:tc>
      </w:tr>
      <w:tr>
        <w:trPr>
          <w:cantSplit/>
        </w:trPr>
        <w:tc>
          <w:tcPr>
            <w:tcW w:type="dxa" w:w="2721"/>
            <w:shd w:fill="F1F5F3"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Moneda de referencia</w:t>
            </w:r>
          </w:p>
        </w:tc>
        <w:tc>
          <w:tcPr>
            <w:tcW w:type="dxa" w:w="6351"/>
            <w:shd w:fill="F1F5F3"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Sol peruano (S/), en consistencia con el Plan de Negocios KanchaYA</w:t>
            </w:r>
          </w:p>
        </w:tc>
      </w:tr>
      <w:tr>
        <w:trPr>
          <w:cantSplit/>
        </w:trPr>
        <w:tc>
          <w:tcPr>
            <w:tcW w:type="dxa" w:w="2721"/>
            <w:shd w:fill="FFFFFF"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Versión</w:t>
            </w:r>
          </w:p>
        </w:tc>
        <w:tc>
          <w:tcPr>
            <w:tcW w:type="dxa" w:w="6351"/>
            <w:shd w:fill="FFFFFF"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1.0</w:t>
            </w:r>
          </w:p>
        </w:tc>
      </w:tr>
      <w:tr>
        <w:trPr>
          <w:cantSplit/>
        </w:trPr>
        <w:tc>
          <w:tcPr>
            <w:tcW w:type="dxa" w:w="2721"/>
            <w:shd w:fill="F1F5F3"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Fecha de elaboración</w:t>
            </w:r>
          </w:p>
        </w:tc>
        <w:tc>
          <w:tcPr>
            <w:tcW w:type="dxa" w:w="6351"/>
            <w:shd w:fill="F1F5F3"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Agosto de 2026</w:t>
            </w:r>
          </w:p>
        </w:tc>
      </w:tr>
      <w:tr>
        <w:trPr>
          <w:cantSplit/>
        </w:trPr>
        <w:tc>
          <w:tcPr>
            <w:tcW w:type="dxa" w:w="2721"/>
            <w:shd w:fill="FFFFFF"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Formato</w:t>
            </w:r>
          </w:p>
        </w:tc>
        <w:tc>
          <w:tcPr>
            <w:tcW w:type="dxa" w:w="6351"/>
            <w:shd w:fill="FFFFFF"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Documento técnico-ejecutivo. Referencias bibliográficas en formato APA, 7.ª edición</w:t>
            </w:r>
          </w:p>
        </w:tc>
      </w:tr>
    </w:tbl>
    <w:p>
      <w:pPr>
        <w:spacing w:after="200"/>
      </w:pPr>
    </w:p>
    <w:p>
      <w:pPr>
        <w:spacing w:after="160" w:line="276"/>
        <w:jc w:val="both"/>
      </w:pPr>
      <w:r>
        <w:rPr>
          <w:rFonts w:ascii="Calibri" w:cs="Calibri" w:eastAsia="Calibri" w:hAnsi="Calibri"/>
          <w:color w:val="232323"/>
          <w:sz w:val="21"/>
          <w:szCs w:val="21"/>
        </w:rPr>
        <w:t xml:space="preserve">Este documento constituye el </w:t>
      </w:r>
      <w:r>
        <w:rPr>
          <w:rFonts w:ascii="Calibri" w:cs="Calibri" w:eastAsia="Calibri" w:hAnsi="Calibri"/>
          <w:b/>
          <w:bCs/>
          <w:color w:val="232323"/>
          <w:sz w:val="21"/>
          <w:szCs w:val="21"/>
        </w:rPr>
        <w:t xml:space="preserve">plan de proyecto operativo</w:t>
      </w:r>
      <w:r>
        <w:rPr>
          <w:rFonts w:ascii="Calibri" w:cs="Calibri" w:eastAsia="Calibri" w:hAnsi="Calibri"/>
          <w:color w:val="232323"/>
          <w:sz w:val="21"/>
          <w:szCs w:val="21"/>
        </w:rPr>
        <w:t xml:space="preserve"> para la construcción técnica de la plataforma KanchaYA descrita en el Plan de Negocios de agosto de 2026. Mientras que aquel documento responde a las preguntas de </w:t>
      </w:r>
      <w:r>
        <w:rPr>
          <w:rFonts w:ascii="Calibri" w:cs="Calibri" w:eastAsia="Calibri" w:hAnsi="Calibri"/>
          <w:b/>
          <w:bCs/>
          <w:color w:val="232323"/>
          <w:sz w:val="21"/>
          <w:szCs w:val="21"/>
        </w:rPr>
        <w:t xml:space="preserve">qué</w:t>
      </w:r>
      <w:r>
        <w:rPr>
          <w:rFonts w:ascii="Calibri" w:cs="Calibri" w:eastAsia="Calibri" w:hAnsi="Calibri"/>
          <w:color w:val="232323"/>
          <w:sz w:val="21"/>
          <w:szCs w:val="21"/>
        </w:rPr>
        <w:t xml:space="preserve"> se va a construir y </w:t>
      </w:r>
      <w:r>
        <w:rPr>
          <w:rFonts w:ascii="Calibri" w:cs="Calibri" w:eastAsia="Calibri" w:hAnsi="Calibri"/>
          <w:b/>
          <w:bCs/>
          <w:color w:val="232323"/>
          <w:sz w:val="21"/>
          <w:szCs w:val="21"/>
        </w:rPr>
        <w:t xml:space="preserve">por qué</w:t>
      </w:r>
      <w:r>
        <w:rPr>
          <w:rFonts w:ascii="Calibri" w:cs="Calibri" w:eastAsia="Calibri" w:hAnsi="Calibri"/>
          <w:color w:val="232323"/>
          <w:sz w:val="21"/>
          <w:szCs w:val="21"/>
        </w:rPr>
        <w:t xml:space="preserve"> el modelo es viable, este plan responde a la pregunta de </w:t>
      </w:r>
      <w:r>
        <w:rPr>
          <w:rFonts w:ascii="Calibri" w:cs="Calibri" w:eastAsia="Calibri" w:hAnsi="Calibri"/>
          <w:b/>
          <w:bCs/>
          <w:color w:val="232323"/>
          <w:sz w:val="21"/>
          <w:szCs w:val="21"/>
        </w:rPr>
        <w:t xml:space="preserve">cómo</w:t>
      </w:r>
      <w:r>
        <w:rPr>
          <w:rFonts w:ascii="Calibri" w:cs="Calibri" w:eastAsia="Calibri" w:hAnsi="Calibri"/>
          <w:color w:val="232323"/>
          <w:sz w:val="21"/>
          <w:szCs w:val="21"/>
        </w:rPr>
        <w:t xml:space="preserve"> se construye: con qué metodología, en qué secuencia, con qué roles, con qué criterios de calidad y bajo qué mecanismos de mantenimiento una vez el sistema esté en producción.</w:t>
      </w:r>
    </w:p>
    <w:p>
      <w:pPr>
        <w:spacing w:after="160" w:line="276"/>
        <w:jc w:val="both"/>
      </w:pPr>
      <w:r>
        <w:rPr>
          <w:rFonts w:ascii="Calibri" w:cs="Calibri" w:eastAsia="Calibri" w:hAnsi="Calibri"/>
          <w:color w:val="232323"/>
          <w:sz w:val="21"/>
          <w:szCs w:val="21"/>
        </w:rPr>
        <w:t xml:space="preserve">El documento está dirigido a un equipo de desarrollo que puede ser interno, subcontratado (outsourcing) o mixto, y ha sido redactado con un nivel de detalle técnico suficiente para servir como documento de referencia (playbook) durante la ejecución del proyecto. Las estimaciones de duración de sprints, story points y capacidad del equipo aquí contenidas son referenciales: deben calibrarse durante el Sprint 0 y ajustarse con datos reales de velocidad (velocity) conforme el equipo avanza.</w:t>
      </w:r>
    </w:p>
    <w:p>
      <w:pPr>
        <w:spacing w:after="220" w:before="60"/>
        <w:ind w:left="200"/>
      </w:pPr>
      <w:r>
        <w:rPr>
          <w:rFonts w:ascii="Calibri" w:cs="Calibri" w:eastAsia="Calibri" w:hAnsi="Calibri"/>
          <w:i/>
          <w:iCs/>
          <w:color w:val="5B5B5B"/>
          <w:sz w:val="19"/>
          <w:szCs w:val="19"/>
        </w:rPr>
        <w:t xml:space="preserve">Se recomienda que el Product Owner y el Scrum Master revisen y actualicen este documento al cierre de cada fase del alcance del proyecto, incorporando los aprendizajes registrados en las retrospectivas de sprint.</w:t>
      </w:r>
    </w:p>
    <w:p>
      <w:pPr>
        <w:pStyle w:val="Heading1"/>
        <w:pageBreakBefore/>
        <w:pBdr>
          <w:bottom w:val="single" w:color="1F6F4A" w:sz="14" w:space="8"/>
        </w:pBdr>
        <w:spacing w:after="320" w:before="0"/>
      </w:pPr>
      <w:r>
        <w:rPr>
          <w:rFonts w:ascii="Calibri" w:cs="Calibri" w:eastAsia="Calibri" w:hAnsi="Calibri"/>
          <w:b/>
          <w:bCs/>
          <w:color w:val="173F32"/>
          <w:sz w:val="32"/>
          <w:szCs w:val="32"/>
        </w:rPr>
        <w:t xml:space="preserve">Índice</w:t>
      </w:r>
    </w:p>
    <w:p>
      <w:pPr>
        <w:tabs>
          <w:tab w:val="right" w:pos="9072" w:leader="dot"/>
        </w:tabs>
        <w:spacing w:after="150"/>
      </w:pPr>
      <w:r>
        <w:rPr>
          <w:rFonts w:ascii="Calibri" w:cs="Calibri" w:eastAsia="Calibri" w:hAnsi="Calibri"/>
          <w:b w:val="false"/>
          <w:bCs w:val="false"/>
          <w:color w:val="232323"/>
          <w:sz w:val="21"/>
          <w:szCs w:val="21"/>
        </w:rPr>
        <w:t xml:space="preserve">Ficha del Documento</w:t>
      </w:r>
      <w:r>
        <w:rPr>
          <w:rFonts w:ascii="Calibri" w:cs="Calibri" w:eastAsia="Calibri" w:hAnsi="Calibri"/>
          <w:color w:val="5B5B5B"/>
          <w:sz w:val="21"/>
          <w:szCs w:val="21"/>
        </w:rPr>
        <w:t xml:space="preserve">	2</w:t>
      </w:r>
    </w:p>
    <w:p>
      <w:pPr>
        <w:tabs>
          <w:tab w:val="right" w:pos="9072" w:leader="dot"/>
        </w:tabs>
        <w:spacing w:after="150"/>
      </w:pPr>
      <w:r>
        <w:rPr>
          <w:rFonts w:ascii="Calibri" w:cs="Calibri" w:eastAsia="Calibri" w:hAnsi="Calibri"/>
          <w:b w:val="false"/>
          <w:bCs w:val="false"/>
          <w:color w:val="232323"/>
          <w:sz w:val="21"/>
          <w:szCs w:val="21"/>
        </w:rPr>
        <w:t xml:space="preserve">1. Resumen Ejecutivo del Plan de Proyecto</w:t>
      </w:r>
      <w:r>
        <w:rPr>
          <w:rFonts w:ascii="Calibri" w:cs="Calibri" w:eastAsia="Calibri" w:hAnsi="Calibri"/>
          <w:color w:val="5B5B5B"/>
          <w:sz w:val="21"/>
          <w:szCs w:val="21"/>
        </w:rPr>
        <w:t xml:space="preserve">	4</w:t>
      </w:r>
    </w:p>
    <w:p>
      <w:pPr>
        <w:tabs>
          <w:tab w:val="right" w:pos="9072" w:leader="dot"/>
        </w:tabs>
        <w:spacing w:after="150"/>
      </w:pPr>
      <w:r>
        <w:rPr>
          <w:rFonts w:ascii="Calibri" w:cs="Calibri" w:eastAsia="Calibri" w:hAnsi="Calibri"/>
          <w:b w:val="false"/>
          <w:bCs w:val="false"/>
          <w:color w:val="232323"/>
          <w:sz w:val="21"/>
          <w:szCs w:val="21"/>
        </w:rPr>
        <w:t xml:space="preserve">2. Introducción y Alineación con el Plan de Negocios</w:t>
      </w:r>
      <w:r>
        <w:rPr>
          <w:rFonts w:ascii="Calibri" w:cs="Calibri" w:eastAsia="Calibri" w:hAnsi="Calibri"/>
          <w:color w:val="5B5B5B"/>
          <w:sz w:val="21"/>
          <w:szCs w:val="21"/>
        </w:rPr>
        <w:t xml:space="preserve">	7</w:t>
      </w:r>
    </w:p>
    <w:p>
      <w:pPr>
        <w:tabs>
          <w:tab w:val="right" w:pos="9072" w:leader="dot"/>
        </w:tabs>
        <w:spacing w:after="150"/>
      </w:pPr>
      <w:r>
        <w:rPr>
          <w:rFonts w:ascii="Calibri" w:cs="Calibri" w:eastAsia="Calibri" w:hAnsi="Calibri"/>
          <w:b w:val="false"/>
          <w:bCs w:val="false"/>
          <w:color w:val="232323"/>
          <w:sz w:val="21"/>
          <w:szCs w:val="21"/>
        </w:rPr>
        <w:t xml:space="preserve">3. Marco Metodológico: Scrum y Desarrollo Ágil</w:t>
      </w:r>
      <w:r>
        <w:rPr>
          <w:rFonts w:ascii="Calibri" w:cs="Calibri" w:eastAsia="Calibri" w:hAnsi="Calibri"/>
          <w:color w:val="5B5B5B"/>
          <w:sz w:val="21"/>
          <w:szCs w:val="21"/>
        </w:rPr>
        <w:t xml:space="preserve">	9</w:t>
      </w:r>
    </w:p>
    <w:p>
      <w:pPr>
        <w:tabs>
          <w:tab w:val="right" w:pos="9072" w:leader="dot"/>
        </w:tabs>
        <w:spacing w:after="150"/>
      </w:pPr>
      <w:r>
        <w:rPr>
          <w:rFonts w:ascii="Calibri" w:cs="Calibri" w:eastAsia="Calibri" w:hAnsi="Calibri"/>
          <w:b w:val="false"/>
          <w:bCs w:val="false"/>
          <w:color w:val="232323"/>
          <w:sz w:val="21"/>
          <w:szCs w:val="21"/>
        </w:rPr>
        <w:t xml:space="preserve">4. Fase 1 — Ingeniería de Requerimientos</w:t>
      </w:r>
      <w:r>
        <w:rPr>
          <w:rFonts w:ascii="Calibri" w:cs="Calibri" w:eastAsia="Calibri" w:hAnsi="Calibri"/>
          <w:color w:val="5B5B5B"/>
          <w:sz w:val="21"/>
          <w:szCs w:val="21"/>
        </w:rPr>
        <w:t xml:space="preserve">	14</w:t>
      </w:r>
    </w:p>
    <w:p>
      <w:pPr>
        <w:tabs>
          <w:tab w:val="right" w:pos="9072" w:leader="dot"/>
        </w:tabs>
        <w:spacing w:after="150"/>
      </w:pPr>
      <w:r>
        <w:rPr>
          <w:rFonts w:ascii="Calibri" w:cs="Calibri" w:eastAsia="Calibri" w:hAnsi="Calibri"/>
          <w:b w:val="false"/>
          <w:bCs w:val="false"/>
          <w:color w:val="232323"/>
          <w:sz w:val="21"/>
          <w:szCs w:val="21"/>
        </w:rPr>
        <w:t xml:space="preserve">5. Fase 2 — Diseño: UX/UI y Arquitectura de la Solución</w:t>
      </w:r>
      <w:r>
        <w:rPr>
          <w:rFonts w:ascii="Calibri" w:cs="Calibri" w:eastAsia="Calibri" w:hAnsi="Calibri"/>
          <w:color w:val="5B5B5B"/>
          <w:sz w:val="21"/>
          <w:szCs w:val="21"/>
        </w:rPr>
        <w:t xml:space="preserve">	20</w:t>
      </w:r>
    </w:p>
    <w:p>
      <w:pPr>
        <w:tabs>
          <w:tab w:val="right" w:pos="9072" w:leader="dot"/>
        </w:tabs>
        <w:spacing w:after="150"/>
      </w:pPr>
      <w:r>
        <w:rPr>
          <w:rFonts w:ascii="Calibri" w:cs="Calibri" w:eastAsia="Calibri" w:hAnsi="Calibri"/>
          <w:b w:val="false"/>
          <w:bCs w:val="false"/>
          <w:color w:val="232323"/>
          <w:sz w:val="21"/>
          <w:szCs w:val="21"/>
        </w:rPr>
        <w:t xml:space="preserve">6. Fase 3 — Preparación del Entorno de Desarrollo (Sprint 0)</w:t>
      </w:r>
      <w:r>
        <w:rPr>
          <w:rFonts w:ascii="Calibri" w:cs="Calibri" w:eastAsia="Calibri" w:hAnsi="Calibri"/>
          <w:color w:val="5B5B5B"/>
          <w:sz w:val="21"/>
          <w:szCs w:val="21"/>
        </w:rPr>
        <w:t xml:space="preserve">	25</w:t>
      </w:r>
    </w:p>
    <w:p>
      <w:pPr>
        <w:tabs>
          <w:tab w:val="right" w:pos="9072" w:leader="dot"/>
        </w:tabs>
        <w:spacing w:after="150"/>
      </w:pPr>
      <w:r>
        <w:rPr>
          <w:rFonts w:ascii="Calibri" w:cs="Calibri" w:eastAsia="Calibri" w:hAnsi="Calibri"/>
          <w:b w:val="false"/>
          <w:bCs w:val="false"/>
          <w:color w:val="232323"/>
          <w:sz w:val="21"/>
          <w:szCs w:val="21"/>
        </w:rPr>
        <w:t xml:space="preserve">7. Fase 4 — Desarrollo Iterativo del Producto</w:t>
      </w:r>
      <w:r>
        <w:rPr>
          <w:rFonts w:ascii="Calibri" w:cs="Calibri" w:eastAsia="Calibri" w:hAnsi="Calibri"/>
          <w:color w:val="5B5B5B"/>
          <w:sz w:val="21"/>
          <w:szCs w:val="21"/>
        </w:rPr>
        <w:t xml:space="preserve">	28</w:t>
      </w:r>
    </w:p>
    <w:p>
      <w:pPr>
        <w:tabs>
          <w:tab w:val="right" w:pos="9072" w:leader="dot"/>
        </w:tabs>
        <w:spacing w:after="150"/>
      </w:pPr>
      <w:r>
        <w:rPr>
          <w:rFonts w:ascii="Calibri" w:cs="Calibri" w:eastAsia="Calibri" w:hAnsi="Calibri"/>
          <w:b w:val="false"/>
          <w:bCs w:val="false"/>
          <w:color w:val="232323"/>
          <w:sz w:val="21"/>
          <w:szCs w:val="21"/>
        </w:rPr>
        <w:t xml:space="preserve">8. Fase 5 — Aseguramiento de Calidad (QA) y Pruebas</w:t>
      </w:r>
      <w:r>
        <w:rPr>
          <w:rFonts w:ascii="Calibri" w:cs="Calibri" w:eastAsia="Calibri" w:hAnsi="Calibri"/>
          <w:color w:val="5B5B5B"/>
          <w:sz w:val="21"/>
          <w:szCs w:val="21"/>
        </w:rPr>
        <w:t xml:space="preserve">	31</w:t>
      </w:r>
    </w:p>
    <w:p>
      <w:pPr>
        <w:tabs>
          <w:tab w:val="right" w:pos="9072" w:leader="dot"/>
        </w:tabs>
        <w:spacing w:after="150"/>
      </w:pPr>
      <w:r>
        <w:rPr>
          <w:rFonts w:ascii="Calibri" w:cs="Calibri" w:eastAsia="Calibri" w:hAnsi="Calibri"/>
          <w:b w:val="false"/>
          <w:bCs w:val="false"/>
          <w:color w:val="232323"/>
          <w:sz w:val="21"/>
          <w:szCs w:val="21"/>
        </w:rPr>
        <w:t xml:space="preserve">9. Fase 6 — Despliegue y Puesta en Producción</w:t>
      </w:r>
      <w:r>
        <w:rPr>
          <w:rFonts w:ascii="Calibri" w:cs="Calibri" w:eastAsia="Calibri" w:hAnsi="Calibri"/>
          <w:color w:val="5B5B5B"/>
          <w:sz w:val="21"/>
          <w:szCs w:val="21"/>
        </w:rPr>
        <w:t xml:space="preserve">	34</w:t>
      </w:r>
    </w:p>
    <w:p>
      <w:pPr>
        <w:tabs>
          <w:tab w:val="right" w:pos="9072" w:leader="dot"/>
        </w:tabs>
        <w:spacing w:after="150"/>
      </w:pPr>
      <w:r>
        <w:rPr>
          <w:rFonts w:ascii="Calibri" w:cs="Calibri" w:eastAsia="Calibri" w:hAnsi="Calibri"/>
          <w:b w:val="false"/>
          <w:bCs w:val="false"/>
          <w:color w:val="232323"/>
          <w:sz w:val="21"/>
          <w:szCs w:val="21"/>
        </w:rPr>
        <w:t xml:space="preserve">10. Fase 7 — Operación, Mantenimiento y Gestión de Cambios</w:t>
      </w:r>
      <w:r>
        <w:rPr>
          <w:rFonts w:ascii="Calibri" w:cs="Calibri" w:eastAsia="Calibri" w:hAnsi="Calibri"/>
          <w:color w:val="5B5B5B"/>
          <w:sz w:val="21"/>
          <w:szCs w:val="21"/>
        </w:rPr>
        <w:t xml:space="preserve">	36</w:t>
      </w:r>
    </w:p>
    <w:p>
      <w:pPr>
        <w:tabs>
          <w:tab w:val="right" w:pos="9072" w:leader="dot"/>
        </w:tabs>
        <w:spacing w:after="150"/>
      </w:pPr>
      <w:r>
        <w:rPr>
          <w:rFonts w:ascii="Calibri" w:cs="Calibri" w:eastAsia="Calibri" w:hAnsi="Calibri"/>
          <w:b w:val="false"/>
          <w:bCs w:val="false"/>
          <w:color w:val="232323"/>
          <w:sz w:val="21"/>
          <w:szCs w:val="21"/>
        </w:rPr>
        <w:t xml:space="preserve">11. Cronograma General del Proyecto de Construcción</w:t>
      </w:r>
      <w:r>
        <w:rPr>
          <w:rFonts w:ascii="Calibri" w:cs="Calibri" w:eastAsia="Calibri" w:hAnsi="Calibri"/>
          <w:color w:val="5B5B5B"/>
          <w:sz w:val="21"/>
          <w:szCs w:val="21"/>
        </w:rPr>
        <w:t xml:space="preserve">	39</w:t>
      </w:r>
    </w:p>
    <w:p>
      <w:pPr>
        <w:tabs>
          <w:tab w:val="right" w:pos="9072" w:leader="dot"/>
        </w:tabs>
        <w:spacing w:after="150"/>
      </w:pPr>
      <w:r>
        <w:rPr>
          <w:rFonts w:ascii="Calibri" w:cs="Calibri" w:eastAsia="Calibri" w:hAnsi="Calibri"/>
          <w:b w:val="false"/>
          <w:bCs w:val="false"/>
          <w:color w:val="232323"/>
          <w:sz w:val="21"/>
          <w:szCs w:val="21"/>
        </w:rPr>
        <w:t xml:space="preserve">12. Estructura del Equipo de Proyecto</w:t>
      </w:r>
      <w:r>
        <w:rPr>
          <w:rFonts w:ascii="Calibri" w:cs="Calibri" w:eastAsia="Calibri" w:hAnsi="Calibri"/>
          <w:color w:val="5B5B5B"/>
          <w:sz w:val="21"/>
          <w:szCs w:val="21"/>
        </w:rPr>
        <w:t xml:space="preserve">	40</w:t>
      </w:r>
    </w:p>
    <w:p>
      <w:pPr>
        <w:tabs>
          <w:tab w:val="right" w:pos="9072" w:leader="dot"/>
        </w:tabs>
        <w:spacing w:after="150"/>
      </w:pPr>
      <w:r>
        <w:rPr>
          <w:rFonts w:ascii="Calibri" w:cs="Calibri" w:eastAsia="Calibri" w:hAnsi="Calibri"/>
          <w:b w:val="false"/>
          <w:bCs w:val="false"/>
          <w:color w:val="232323"/>
          <w:sz w:val="21"/>
          <w:szCs w:val="21"/>
        </w:rPr>
        <w:t xml:space="preserve">13. Gestión de Riesgos del Proyecto de Construcción</w:t>
      </w:r>
      <w:r>
        <w:rPr>
          <w:rFonts w:ascii="Calibri" w:cs="Calibri" w:eastAsia="Calibri" w:hAnsi="Calibri"/>
          <w:color w:val="5B5B5B"/>
          <w:sz w:val="21"/>
          <w:szCs w:val="21"/>
        </w:rPr>
        <w:t xml:space="preserve">	42</w:t>
      </w:r>
    </w:p>
    <w:p>
      <w:pPr>
        <w:tabs>
          <w:tab w:val="right" w:pos="9072" w:leader="dot"/>
        </w:tabs>
        <w:spacing w:after="150"/>
      </w:pPr>
      <w:r>
        <w:rPr>
          <w:rFonts w:ascii="Calibri" w:cs="Calibri" w:eastAsia="Calibri" w:hAnsi="Calibri"/>
          <w:b w:val="false"/>
          <w:bCs w:val="false"/>
          <w:color w:val="232323"/>
          <w:sz w:val="21"/>
          <w:szCs w:val="21"/>
        </w:rPr>
        <w:t xml:space="preserve">14. Indicadores de Éxito y Métricas Ágiles</w:t>
      </w:r>
      <w:r>
        <w:rPr>
          <w:rFonts w:ascii="Calibri" w:cs="Calibri" w:eastAsia="Calibri" w:hAnsi="Calibri"/>
          <w:color w:val="5B5B5B"/>
          <w:sz w:val="21"/>
          <w:szCs w:val="21"/>
        </w:rPr>
        <w:t xml:space="preserve">	44</w:t>
      </w:r>
    </w:p>
    <w:p>
      <w:pPr>
        <w:tabs>
          <w:tab w:val="right" w:pos="9072" w:leader="dot"/>
        </w:tabs>
        <w:spacing w:after="150"/>
      </w:pPr>
      <w:r>
        <w:rPr>
          <w:rFonts w:ascii="Calibri" w:cs="Calibri" w:eastAsia="Calibri" w:hAnsi="Calibri"/>
          <w:b w:val="false"/>
          <w:bCs w:val="false"/>
          <w:color w:val="232323"/>
          <w:sz w:val="21"/>
          <w:szCs w:val="21"/>
        </w:rPr>
        <w:t xml:space="preserve">15. Gestión de la Comunicación con Interesados (Stakeholders)</w:t>
      </w:r>
      <w:r>
        <w:rPr>
          <w:rFonts w:ascii="Calibri" w:cs="Calibri" w:eastAsia="Calibri" w:hAnsi="Calibri"/>
          <w:color w:val="5B5B5B"/>
          <w:sz w:val="21"/>
          <w:szCs w:val="21"/>
        </w:rPr>
        <w:t xml:space="preserve">	46</w:t>
      </w:r>
    </w:p>
    <w:p>
      <w:pPr>
        <w:tabs>
          <w:tab w:val="right" w:pos="9072" w:leader="dot"/>
        </w:tabs>
        <w:spacing w:after="150"/>
      </w:pPr>
      <w:r>
        <w:rPr>
          <w:rFonts w:ascii="Calibri" w:cs="Calibri" w:eastAsia="Calibri" w:hAnsi="Calibri"/>
          <w:b w:val="false"/>
          <w:bCs w:val="false"/>
          <w:color w:val="232323"/>
          <w:sz w:val="21"/>
          <w:szCs w:val="21"/>
        </w:rPr>
        <w:t xml:space="preserve">16. Gobernanza y Gestión de Cambios de Alcance</w:t>
      </w:r>
      <w:r>
        <w:rPr>
          <w:rFonts w:ascii="Calibri" w:cs="Calibri" w:eastAsia="Calibri" w:hAnsi="Calibri"/>
          <w:color w:val="5B5B5B"/>
          <w:sz w:val="21"/>
          <w:szCs w:val="21"/>
        </w:rPr>
        <w:t xml:space="preserve">	47</w:t>
      </w:r>
    </w:p>
    <w:p>
      <w:pPr>
        <w:tabs>
          <w:tab w:val="right" w:pos="9072" w:leader="dot"/>
        </w:tabs>
        <w:spacing w:after="150"/>
      </w:pPr>
      <w:r>
        <w:rPr>
          <w:rFonts w:ascii="Calibri" w:cs="Calibri" w:eastAsia="Calibri" w:hAnsi="Calibri"/>
          <w:b w:val="false"/>
          <w:bCs w:val="false"/>
          <w:color w:val="232323"/>
          <w:sz w:val="21"/>
          <w:szCs w:val="21"/>
        </w:rPr>
        <w:t xml:space="preserve">17. Conclusiones</w:t>
      </w:r>
      <w:r>
        <w:rPr>
          <w:rFonts w:ascii="Calibri" w:cs="Calibri" w:eastAsia="Calibri" w:hAnsi="Calibri"/>
          <w:color w:val="5B5B5B"/>
          <w:sz w:val="21"/>
          <w:szCs w:val="21"/>
        </w:rPr>
        <w:t xml:space="preserve">	48</w:t>
      </w:r>
    </w:p>
    <w:p>
      <w:pPr>
        <w:tabs>
          <w:tab w:val="right" w:pos="9072" w:leader="dot"/>
        </w:tabs>
        <w:spacing w:after="150"/>
      </w:pPr>
      <w:r>
        <w:rPr>
          <w:rFonts w:ascii="Calibri" w:cs="Calibri" w:eastAsia="Calibri" w:hAnsi="Calibri"/>
          <w:b w:val="false"/>
          <w:bCs w:val="false"/>
          <w:color w:val="232323"/>
          <w:sz w:val="21"/>
          <w:szCs w:val="21"/>
        </w:rPr>
        <w:t xml:space="preserve">18. Referencias</w:t>
      </w:r>
      <w:r>
        <w:rPr>
          <w:rFonts w:ascii="Calibri" w:cs="Calibri" w:eastAsia="Calibri" w:hAnsi="Calibri"/>
          <w:color w:val="5B5B5B"/>
          <w:sz w:val="21"/>
          <w:szCs w:val="21"/>
        </w:rPr>
        <w:t xml:space="preserve">	49</w:t>
      </w:r>
    </w:p>
    <w:p>
      <w:pPr>
        <w:tabs>
          <w:tab w:val="right" w:pos="9072" w:leader="dot"/>
        </w:tabs>
        <w:spacing w:after="150"/>
      </w:pPr>
      <w:r>
        <w:rPr>
          <w:rFonts w:ascii="Calibri" w:cs="Calibri" w:eastAsia="Calibri" w:hAnsi="Calibri"/>
          <w:b/>
          <w:bCs/>
          <w:color w:val="2E5C8A"/>
          <w:sz w:val="21"/>
          <w:szCs w:val="21"/>
        </w:rPr>
        <w:t xml:space="preserve">Anexo A. Glosario de Términos Ágiles y Técnicos</w:t>
      </w:r>
      <w:r>
        <w:rPr>
          <w:rFonts w:ascii="Calibri" w:cs="Calibri" w:eastAsia="Calibri" w:hAnsi="Calibri"/>
          <w:color w:val="5B5B5B"/>
          <w:sz w:val="21"/>
          <w:szCs w:val="21"/>
        </w:rPr>
        <w:t xml:space="preserve">	50</w:t>
      </w:r>
    </w:p>
    <w:p>
      <w:pPr>
        <w:tabs>
          <w:tab w:val="right" w:pos="9072" w:leader="dot"/>
        </w:tabs>
        <w:spacing w:after="150"/>
      </w:pPr>
      <w:r>
        <w:rPr>
          <w:rFonts w:ascii="Calibri" w:cs="Calibri" w:eastAsia="Calibri" w:hAnsi="Calibri"/>
          <w:b/>
          <w:bCs/>
          <w:color w:val="2E5C8A"/>
          <w:sz w:val="21"/>
          <w:szCs w:val="21"/>
        </w:rPr>
        <w:t xml:space="preserve">Anexo B. Plantilla de Historia de Usuario</w:t>
      </w:r>
      <w:r>
        <w:rPr>
          <w:rFonts w:ascii="Calibri" w:cs="Calibri" w:eastAsia="Calibri" w:hAnsi="Calibri"/>
          <w:color w:val="5B5B5B"/>
          <w:sz w:val="21"/>
          <w:szCs w:val="21"/>
        </w:rPr>
        <w:t xml:space="preserve">	52</w:t>
      </w:r>
    </w:p>
    <w:p>
      <w:pPr>
        <w:tabs>
          <w:tab w:val="right" w:pos="9072" w:leader="dot"/>
        </w:tabs>
        <w:spacing w:after="150"/>
      </w:pPr>
      <w:r>
        <w:rPr>
          <w:rFonts w:ascii="Calibri" w:cs="Calibri" w:eastAsia="Calibri" w:hAnsi="Calibri"/>
          <w:b/>
          <w:bCs/>
          <w:color w:val="2E5C8A"/>
          <w:sz w:val="21"/>
          <w:szCs w:val="21"/>
        </w:rPr>
        <w:t xml:space="preserve">Anexo C. Plantilla de Informe de Incidente (Post-Mortem)</w:t>
      </w:r>
      <w:r>
        <w:rPr>
          <w:rFonts w:ascii="Calibri" w:cs="Calibri" w:eastAsia="Calibri" w:hAnsi="Calibri"/>
          <w:color w:val="5B5B5B"/>
          <w:sz w:val="21"/>
          <w:szCs w:val="21"/>
        </w:rPr>
        <w:t xml:space="preserve">	53</w:t>
      </w:r>
    </w:p>
    <w:p>
      <w:pPr>
        <w:pStyle w:val="Heading1"/>
        <w:pageBreakBefore/>
        <w:pBdr>
          <w:bottom w:val="single" w:color="1F6F4A" w:sz="14" w:space="8"/>
        </w:pBdr>
        <w:spacing w:after="260" w:before="0"/>
      </w:pPr>
      <w:r>
        <w:rPr>
          <w:rFonts w:ascii="Calibri" w:cs="Calibri" w:eastAsia="Calibri" w:hAnsi="Calibri"/>
          <w:b/>
          <w:bCs/>
          <w:color w:val="173F32"/>
          <w:sz w:val="32"/>
          <w:szCs w:val="32"/>
        </w:rPr>
        <w:t xml:space="preserve">1. Resumen Ejecutivo del Plan de Proyecto</w:t>
      </w:r>
    </w:p>
    <w:p>
      <w:pPr>
        <w:spacing w:after="160" w:line="276"/>
        <w:jc w:val="both"/>
      </w:pPr>
      <w:r>
        <w:rPr>
          <w:rFonts w:ascii="Calibri" w:cs="Calibri" w:eastAsia="Calibri" w:hAnsi="Calibri"/>
          <w:color w:val="232323"/>
          <w:sz w:val="21"/>
          <w:szCs w:val="21"/>
        </w:rPr>
        <w:t xml:space="preserve">KanchaYA ha validado, en su Plan de Negocios, la oportunidad de mercado, el modelo de monetización y la arquitectura tecnológica de referencia para una plataforma SaaS de reserva de canchas deportivas y gestión de campeonatos en el Cusco. El presente Plan de Proyecto traduce esa visión de negocio en un </w:t>
      </w:r>
      <w:r>
        <w:rPr>
          <w:rFonts w:ascii="Calibri" w:cs="Calibri" w:eastAsia="Calibri" w:hAnsi="Calibri"/>
          <w:b/>
          <w:bCs/>
          <w:color w:val="232323"/>
          <w:sz w:val="21"/>
          <w:szCs w:val="21"/>
        </w:rPr>
        <w:t xml:space="preserve">plan de construcción ejecutable</w:t>
      </w:r>
      <w:r>
        <w:rPr>
          <w:rFonts w:ascii="Calibri" w:cs="Calibri" w:eastAsia="Calibri" w:hAnsi="Calibri"/>
          <w:color w:val="232323"/>
          <w:sz w:val="21"/>
          <w:szCs w:val="21"/>
        </w:rPr>
        <w:t xml:space="preserve">, organizado bajo el marco de trabajo Scrum, que cubre la totalidad del ciclo de vida del desarrollo de software: desde la ingeniería de requerimientos hasta la operación, el mantenimiento y la gestión de parches del sistema ya en producción.</w:t>
      </w:r>
    </w:p>
    <w:p>
      <w:pPr>
        <w:pStyle w:val="Heading2"/>
        <w:spacing w:after="160" w:before="340"/>
      </w:pPr>
      <w:r>
        <w:rPr>
          <w:rFonts w:ascii="Calibri" w:cs="Calibri" w:eastAsia="Calibri" w:hAnsi="Calibri"/>
          <w:b/>
          <w:bCs/>
          <w:color w:val="1F6F4A"/>
          <w:sz w:val="26"/>
          <w:szCs w:val="26"/>
        </w:rPr>
        <w:t xml:space="preserve">1.1 Propósito y Enfoque del Documento</w:t>
      </w:r>
    </w:p>
    <w:p>
      <w:pPr>
        <w:spacing w:after="160" w:line="276"/>
        <w:jc w:val="left"/>
      </w:pPr>
      <w:r>
        <w:rPr>
          <w:rFonts w:ascii="Calibri" w:cs="Calibri" w:eastAsia="Calibri" w:hAnsi="Calibri"/>
          <w:color w:val="232323"/>
          <w:sz w:val="21"/>
          <w:szCs w:val="21"/>
        </w:rPr>
        <w:t xml:space="preserve">El propósito de este documento es dotar al equipo fundador y al equipo de desarrollo de una hoja de ruta técnica accionable, que permita iniciar la construcción del Producto Mínimo Viable (MVP) sin ambigüedad respecto a metodología, secuencia de trabajo, roles, criterios de calidad y mecanismos de gobierno del cambio. El enfoque adoptado es </w:t>
      </w:r>
      <w:r>
        <w:rPr>
          <w:rFonts w:ascii="Calibri" w:cs="Calibri" w:eastAsia="Calibri" w:hAnsi="Calibri"/>
          <w:b/>
          <w:bCs/>
          <w:color w:val="232323"/>
          <w:sz w:val="21"/>
          <w:szCs w:val="21"/>
        </w:rPr>
        <w:t xml:space="preserve">ágil e iterativo-incremental</w:t>
      </w:r>
      <w:r>
        <w:rPr>
          <w:rFonts w:ascii="Calibri" w:cs="Calibri" w:eastAsia="Calibri" w:hAnsi="Calibri"/>
          <w:color w:val="232323"/>
          <w:sz w:val="21"/>
          <w:szCs w:val="21"/>
        </w:rPr>
        <w:t xml:space="preserve">: en lugar de especificar el sistema completo antes de escribir la primera línea de código (modelo en cascada), el producto se construye en incrementos funcionales pequeños, validados frecuentemente con datos reales de centros deportivos y deportistas piloto.</w:t>
      </w:r>
    </w:p>
    <w:p>
      <w:pPr>
        <w:pStyle w:val="Heading2"/>
        <w:spacing w:after="160" w:before="340"/>
      </w:pPr>
      <w:r>
        <w:rPr>
          <w:rFonts w:ascii="Calibri" w:cs="Calibri" w:eastAsia="Calibri" w:hAnsi="Calibri"/>
          <w:b/>
          <w:bCs/>
          <w:color w:val="1F6F4A"/>
          <w:sz w:val="26"/>
          <w:szCs w:val="26"/>
        </w:rPr>
        <w:t xml:space="preserve">1.2 Por qué Scrum para KanchaYA</w:t>
      </w:r>
    </w:p>
    <w:p>
      <w:pPr>
        <w:spacing w:after="160" w:line="276"/>
        <w:jc w:val="left"/>
      </w:pPr>
      <w:r>
        <w:rPr>
          <w:rFonts w:ascii="Calibri" w:cs="Calibri" w:eastAsia="Calibri" w:hAnsi="Calibri"/>
          <w:color w:val="232323"/>
          <w:sz w:val="21"/>
          <w:szCs w:val="21"/>
        </w:rPr>
        <w:t xml:space="preserve">La elección de Scrum como marco de gestión responde a tres características propias del contexto de KanchaYA, desarrolladas con mayor profundidad en la sección 3 de este documento:</w:t>
      </w:r>
    </w:p>
    <w:p>
      <w:pPr>
        <w:pStyle w:val="ListParagraph"/>
        <w:numPr>
          <w:ilvl w:val="0"/>
          <w:numId w:val="2"/>
        </w:numPr>
        <w:spacing w:after="90" w:line="264"/>
      </w:pPr>
      <w:r>
        <w:rPr>
          <w:rFonts w:ascii="Calibri" w:cs="Calibri" w:eastAsia="Calibri" w:hAnsi="Calibri"/>
          <w:b/>
          <w:bCs/>
          <w:color w:val="232323"/>
          <w:sz w:val="21"/>
          <w:szCs w:val="21"/>
        </w:rPr>
        <w:t xml:space="preserve">Alta incertidumbre de producto: </w:t>
      </w:r>
      <w:r>
        <w:rPr>
          <w:rFonts w:ascii="Calibri" w:cs="Calibri" w:eastAsia="Calibri" w:hAnsi="Calibri"/>
          <w:color w:val="232323"/>
          <w:sz w:val="21"/>
          <w:szCs w:val="21"/>
        </w:rPr>
        <w:t xml:space="preserve">no se conoce con precisión qué funcionalidades adoptarán con mayor fuerza los centros deportivos y deportistas cusqueños hasta validarlo con usuarios reales; Scrum permite corregir el rumbo cada dos semanas en lugar de cada varios meses.</w:t>
      </w:r>
    </w:p>
    <w:p>
      <w:pPr>
        <w:pStyle w:val="ListParagraph"/>
        <w:numPr>
          <w:ilvl w:val="0"/>
          <w:numId w:val="2"/>
        </w:numPr>
        <w:spacing w:after="90" w:line="264"/>
      </w:pPr>
      <w:r>
        <w:rPr>
          <w:rFonts w:ascii="Calibri" w:cs="Calibri" w:eastAsia="Calibri" w:hAnsi="Calibri"/>
          <w:b/>
          <w:bCs/>
          <w:color w:val="232323"/>
          <w:sz w:val="21"/>
          <w:szCs w:val="21"/>
        </w:rPr>
        <w:t xml:space="preserve">Equipo reducido y multidisciplinario: </w:t>
      </w:r>
      <w:r>
        <w:rPr>
          <w:rFonts w:ascii="Calibri" w:cs="Calibri" w:eastAsia="Calibri" w:hAnsi="Calibri"/>
          <w:color w:val="232323"/>
          <w:sz w:val="21"/>
          <w:szCs w:val="21"/>
        </w:rPr>
        <w:t xml:space="preserve">la estructura de seis posiciones definida en la sección 14 del Plan de Negocios calza de forma natural con un único equipo Scrum, sin necesidad de coordinación entre múltiples escuadras (squads).</w:t>
      </w:r>
    </w:p>
    <w:p>
      <w:pPr>
        <w:pStyle w:val="ListParagraph"/>
        <w:numPr>
          <w:ilvl w:val="0"/>
          <w:numId w:val="2"/>
        </w:numPr>
        <w:spacing w:after="90" w:line="264"/>
      </w:pPr>
      <w:r>
        <w:rPr>
          <w:rFonts w:ascii="Calibri" w:cs="Calibri" w:eastAsia="Calibri" w:hAnsi="Calibri"/>
          <w:b/>
          <w:bCs/>
          <w:color w:val="232323"/>
          <w:sz w:val="21"/>
          <w:szCs w:val="21"/>
        </w:rPr>
        <w:t xml:space="preserve">Presión de capital y tiempo: </w:t>
      </w:r>
      <w:r>
        <w:rPr>
          <w:rFonts w:ascii="Calibri" w:cs="Calibri" w:eastAsia="Calibri" w:hAnsi="Calibri"/>
          <w:color w:val="232323"/>
          <w:sz w:val="21"/>
          <w:szCs w:val="21"/>
        </w:rPr>
        <w:t xml:space="preserve">con una ronda semilla que financia doce meses de operación (sección 9 del Plan de Negocios), el proyecto requiere demostrar tracción temprana; los incrementos entregables de Scrum permiten mostrar avances tangibles a los representantes e inversionistas cada sprint.</w:t>
      </w:r>
    </w:p>
    <w:p>
      <w:pPr>
        <w:pStyle w:val="Heading2"/>
        <w:spacing w:after="160" w:before="340"/>
      </w:pPr>
      <w:r>
        <w:rPr>
          <w:rFonts w:ascii="Calibri" w:cs="Calibri" w:eastAsia="Calibri" w:hAnsi="Calibri"/>
          <w:b/>
          <w:bCs/>
          <w:color w:val="1F6F4A"/>
          <w:sz w:val="26"/>
          <w:szCs w:val="26"/>
        </w:rPr>
        <w:t xml:space="preserve">1.3 Fases del Ciclo de Vida Cubiertas</w:t>
      </w:r>
    </w:p>
    <w:p>
      <w:pPr>
        <w:spacing w:after="160" w:line="276"/>
        <w:jc w:val="left"/>
      </w:pPr>
      <w:r>
        <w:rPr>
          <w:rFonts w:ascii="Calibri" w:cs="Calibri" w:eastAsia="Calibri" w:hAnsi="Calibri"/>
          <w:color w:val="232323"/>
          <w:sz w:val="21"/>
          <w:szCs w:val="21"/>
        </w:rPr>
        <w:t xml:space="preserve">Este plan organiza la construcción del sistema en siete fases secuenciales, cada una con objetivos, técnicas, roles y entregables propios. Aunque se presentan de forma secuencial para efectos de planificación, las fases 4 (desarrollo) y 5 (aseguramiento de calidad) operan en paralelo dentro de cada sprint, en línea con la práctica ágil de integrar las pruebas al ciclo de desarrollo en lugar de tratarlas como una etapa posterior y aislada.</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907"/>
        <w:gridCol w:w="2721"/>
        <w:gridCol w:w="5444"/>
      </w:tblGrid>
      <w:tr>
        <w:trPr>
          <w:cantSplit/>
          <w:tblHeader/>
        </w:trPr>
        <w:tc>
          <w:tcPr>
            <w:tcW w:type="dxa" w:w="907"/>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Fase</w:t>
            </w:r>
          </w:p>
        </w:tc>
        <w:tc>
          <w:tcPr>
            <w:tcW w:type="dxa" w:w="2721"/>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Nombre</w:t>
            </w:r>
          </w:p>
        </w:tc>
        <w:tc>
          <w:tcPr>
            <w:tcW w:type="dxa" w:w="5444"/>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Objetivo central</w:t>
            </w:r>
          </w:p>
        </w:tc>
      </w:tr>
      <w:tr>
        <w:trPr>
          <w:cantSplit/>
        </w:trPr>
        <w:tc>
          <w:tcPr>
            <w:tcW w:type="dxa" w:w="907"/>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1</w:t>
            </w:r>
          </w:p>
        </w:tc>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Ingeniería de Requerimientos</w:t>
            </w:r>
          </w:p>
        </w:tc>
        <w:tc>
          <w:tcPr>
            <w:tcW w:type="dxa" w:w="544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Levantar, clasificar y priorizar las necesidades del deportista, el centro deportivo y las instituciones organizadoras</w:t>
            </w:r>
          </w:p>
        </w:tc>
      </w:tr>
      <w:tr>
        <w:trPr>
          <w:cantSplit/>
        </w:trPr>
        <w:tc>
          <w:tcPr>
            <w:tcW w:type="dxa" w:w="907"/>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2</w:t>
            </w:r>
          </w:p>
        </w:tc>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Diseño (UX/UI y Arquitectura)</w:t>
            </w:r>
          </w:p>
        </w:tc>
        <w:tc>
          <w:tcPr>
            <w:tcW w:type="dxa" w:w="544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Traducir los requerimientos en flujos de usuario, prototipos navegables y una arquitectura de solución detallada</w:t>
            </w:r>
          </w:p>
        </w:tc>
      </w:tr>
      <w:tr>
        <w:trPr>
          <w:cantSplit/>
        </w:trPr>
        <w:tc>
          <w:tcPr>
            <w:tcW w:type="dxa" w:w="907"/>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3</w:t>
            </w:r>
          </w:p>
        </w:tc>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Preparación del Entorno (Sprint 0)</w:t>
            </w:r>
          </w:p>
        </w:tc>
        <w:tc>
          <w:tcPr>
            <w:tcW w:type="dxa" w:w="544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Configurar repositorios, entornos, pipeline CI/CD y herramientas de gestión ágil</w:t>
            </w:r>
          </w:p>
        </w:tc>
      </w:tr>
      <w:tr>
        <w:trPr>
          <w:cantSplit/>
        </w:trPr>
        <w:tc>
          <w:tcPr>
            <w:tcW w:type="dxa" w:w="907"/>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4</w:t>
            </w:r>
          </w:p>
        </w:tc>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Desarrollo Iterativo</w:t>
            </w:r>
          </w:p>
        </w:tc>
        <w:tc>
          <w:tcPr>
            <w:tcW w:type="dxa" w:w="544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Construir el producto en incrementos funcionales, organizados en sprints de dos semanas</w:t>
            </w:r>
          </w:p>
        </w:tc>
      </w:tr>
      <w:tr>
        <w:trPr>
          <w:cantSplit/>
        </w:trPr>
        <w:tc>
          <w:tcPr>
            <w:tcW w:type="dxa" w:w="907"/>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5</w:t>
            </w:r>
          </w:p>
        </w:tc>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Aseguramiento de Calidad (QA)</w:t>
            </w:r>
          </w:p>
        </w:tc>
        <w:tc>
          <w:tcPr>
            <w:tcW w:type="dxa" w:w="544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Verificar, mediante pruebas automatizadas y manuales, que cada incremento cumple los criterios de aceptación</w:t>
            </w:r>
          </w:p>
        </w:tc>
      </w:tr>
      <w:tr>
        <w:trPr>
          <w:cantSplit/>
        </w:trPr>
        <w:tc>
          <w:tcPr>
            <w:tcW w:type="dxa" w:w="907"/>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6</w:t>
            </w:r>
          </w:p>
        </w:tc>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Despliegue</w:t>
            </w:r>
          </w:p>
        </w:tc>
        <w:tc>
          <w:tcPr>
            <w:tcW w:type="dxa" w:w="544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Poner el incremento en producción de forma segura, controlada y reversible</w:t>
            </w:r>
          </w:p>
        </w:tc>
      </w:tr>
      <w:tr>
        <w:trPr>
          <w:cantSplit/>
        </w:trPr>
        <w:tc>
          <w:tcPr>
            <w:tcW w:type="dxa" w:w="907"/>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7</w:t>
            </w:r>
          </w:p>
        </w:tc>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Operación y Mantenimiento</w:t>
            </w:r>
          </w:p>
        </w:tc>
        <w:tc>
          <w:tcPr>
            <w:tcW w:type="dxa" w:w="544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Sostener el sistema en producción: soporte, incidentes, parches y mejora continua</w:t>
            </w:r>
          </w:p>
        </w:tc>
      </w:tr>
    </w:tbl>
    <w:p>
      <w:pPr>
        <w:spacing w:after="160"/>
      </w:pPr>
    </w:p>
    <w:p>
      <w:pPr>
        <w:pStyle w:val="Heading2"/>
        <w:spacing w:after="160" w:before="340"/>
      </w:pPr>
      <w:r>
        <w:rPr>
          <w:rFonts w:ascii="Calibri" w:cs="Calibri" w:eastAsia="Calibri" w:hAnsi="Calibri"/>
          <w:b/>
          <w:bCs/>
          <w:color w:val="1F6F4A"/>
          <w:sz w:val="26"/>
          <w:szCs w:val="26"/>
        </w:rPr>
        <w:t xml:space="preserve">1.4 Duración y Cadencia de Trabajo</w:t>
      </w:r>
    </w:p>
    <w:p>
      <w:pPr>
        <w:spacing w:after="160" w:line="276"/>
        <w:jc w:val="left"/>
      </w:pPr>
      <w:r>
        <w:rPr>
          <w:rFonts w:ascii="Calibri" w:cs="Calibri" w:eastAsia="Calibri" w:hAnsi="Calibri"/>
          <w:color w:val="232323"/>
          <w:sz w:val="21"/>
          <w:szCs w:val="21"/>
        </w:rPr>
        <w:t xml:space="preserve">Se propone una cadencia de </w:t>
      </w:r>
      <w:r>
        <w:rPr>
          <w:rFonts w:ascii="Calibri" w:cs="Calibri" w:eastAsia="Calibri" w:hAnsi="Calibri"/>
          <w:b/>
          <w:bCs/>
          <w:color w:val="232323"/>
          <w:sz w:val="21"/>
          <w:szCs w:val="21"/>
        </w:rPr>
        <w:t xml:space="preserve">sprints de dos semanas (10 días hábiles)</w:t>
      </w:r>
      <w:r>
        <w:rPr>
          <w:rFonts w:ascii="Calibri" w:cs="Calibri" w:eastAsia="Calibri" w:hAnsi="Calibri"/>
          <w:color w:val="232323"/>
          <w:sz w:val="21"/>
          <w:szCs w:val="21"/>
        </w:rPr>
        <w:t xml:space="preserve">, alineada con los hitos definidos en la sección 16.1 del Plan de Negocios. El detalle de esta relación se desarrolla en la sección 11 de este documento; a modo de resumen:</w:t>
      </w:r>
    </w:p>
    <w:p>
      <w:pPr>
        <w:pStyle w:val="ListParagraph"/>
        <w:numPr>
          <w:ilvl w:val="0"/>
          <w:numId w:val="2"/>
        </w:numPr>
        <w:spacing w:after="90" w:line="264"/>
      </w:pPr>
      <w:r>
        <w:rPr>
          <w:rFonts w:ascii="Calibri" w:cs="Calibri" w:eastAsia="Calibri" w:hAnsi="Calibri"/>
          <w:b/>
          <w:bCs/>
          <w:color w:val="232323"/>
          <w:sz w:val="21"/>
          <w:szCs w:val="21"/>
        </w:rPr>
        <w:t xml:space="preserve">Sprint 0 (2 semanas): </w:t>
      </w:r>
      <w:r>
        <w:rPr>
          <w:rFonts w:ascii="Calibri" w:cs="Calibri" w:eastAsia="Calibri" w:hAnsi="Calibri"/>
          <w:color w:val="232323"/>
          <w:sz w:val="21"/>
          <w:szCs w:val="21"/>
        </w:rPr>
        <w:t xml:space="preserve">preparación de entorno, sin incremento de producto.</w:t>
      </w:r>
    </w:p>
    <w:p>
      <w:pPr>
        <w:pStyle w:val="ListParagraph"/>
        <w:numPr>
          <w:ilvl w:val="0"/>
          <w:numId w:val="2"/>
        </w:numPr>
        <w:spacing w:after="90" w:line="264"/>
      </w:pPr>
      <w:r>
        <w:rPr>
          <w:rFonts w:ascii="Calibri" w:cs="Calibri" w:eastAsia="Calibri" w:hAnsi="Calibri"/>
          <w:b/>
          <w:bCs/>
          <w:color w:val="232323"/>
          <w:sz w:val="21"/>
          <w:szCs w:val="21"/>
        </w:rPr>
        <w:t xml:space="preserve">Sprints 1 a 6 (12 semanas, ≈ meses 3 a 6 del Plan de Negocios): </w:t>
      </w:r>
      <w:r>
        <w:rPr>
          <w:rFonts w:ascii="Calibri" w:cs="Calibri" w:eastAsia="Calibri" w:hAnsi="Calibri"/>
          <w:color w:val="232323"/>
          <w:sz w:val="21"/>
          <w:szCs w:val="21"/>
        </w:rPr>
        <w:t xml:space="preserve">construcción del MVP y despliegue con 15 a 20 centros deportivos piloto (Fase 1 del alcance de negocio).</w:t>
      </w:r>
    </w:p>
    <w:p>
      <w:pPr>
        <w:pStyle w:val="ListParagraph"/>
        <w:numPr>
          <w:ilvl w:val="0"/>
          <w:numId w:val="2"/>
        </w:numPr>
        <w:spacing w:after="90" w:line="264"/>
      </w:pPr>
      <w:r>
        <w:rPr>
          <w:rFonts w:ascii="Calibri" w:cs="Calibri" w:eastAsia="Calibri" w:hAnsi="Calibri"/>
          <w:b/>
          <w:bCs/>
          <w:color w:val="232323"/>
          <w:sz w:val="21"/>
          <w:szCs w:val="21"/>
        </w:rPr>
        <w:t xml:space="preserve">Sprints 7 a 12 (12 semanas, ≈ meses 6 a 9): </w:t>
      </w:r>
      <w:r>
        <w:rPr>
          <w:rFonts w:ascii="Calibri" w:cs="Calibri" w:eastAsia="Calibri" w:hAnsi="Calibri"/>
          <w:color w:val="232323"/>
          <w:sz w:val="21"/>
          <w:szCs w:val="21"/>
        </w:rPr>
        <w:t xml:space="preserve">módulo de campeonatos, suscripciones SaaS y sistema de reputación (Fase 2 del alcance de negocio).</w:t>
      </w:r>
    </w:p>
    <w:p>
      <w:pPr>
        <w:pStyle w:val="ListParagraph"/>
        <w:numPr>
          <w:ilvl w:val="0"/>
          <w:numId w:val="2"/>
        </w:numPr>
        <w:spacing w:after="90" w:line="264"/>
      </w:pPr>
      <w:r>
        <w:rPr>
          <w:rFonts w:ascii="Calibri" w:cs="Calibri" w:eastAsia="Calibri" w:hAnsi="Calibri"/>
          <w:b/>
          <w:bCs/>
          <w:color w:val="232323"/>
          <w:sz w:val="21"/>
          <w:szCs w:val="21"/>
        </w:rPr>
        <w:t xml:space="preserve">Sprints 13 en adelante: </w:t>
      </w:r>
      <w:r>
        <w:rPr>
          <w:rFonts w:ascii="Calibri" w:cs="Calibri" w:eastAsia="Calibri" w:hAnsi="Calibri"/>
          <w:color w:val="232323"/>
          <w:sz w:val="21"/>
          <w:szCs w:val="21"/>
        </w:rPr>
        <w:t xml:space="preserve">ciclo continuo de desarrollo evolutivo, mantenimiento y parches, con cadencia sostenida de dos semanas por sprint mientras la plataforma permanezca en operación.</w:t>
      </w:r>
    </w:p>
    <w:p>
      <w:pPr>
        <w:pStyle w:val="Heading2"/>
        <w:spacing w:after="160" w:before="340"/>
      </w:pPr>
      <w:r>
        <w:rPr>
          <w:rFonts w:ascii="Calibri" w:cs="Calibri" w:eastAsia="Calibri" w:hAnsi="Calibri"/>
          <w:b/>
          <w:bCs/>
          <w:color w:val="1F6F4A"/>
          <w:sz w:val="26"/>
          <w:szCs w:val="26"/>
        </w:rPr>
        <w:t xml:space="preserve">1.5 Principales Entregables del Proyecto de Construcción</w:t>
      </w:r>
    </w:p>
    <w:p>
      <w:pPr>
        <w:pStyle w:val="ListParagraph"/>
        <w:numPr>
          <w:ilvl w:val="0"/>
          <w:numId w:val="2"/>
        </w:numPr>
        <w:spacing w:after="90" w:line="264"/>
      </w:pPr>
      <w:r>
        <w:rPr>
          <w:rFonts w:ascii="Calibri" w:cs="Calibri" w:eastAsia="Calibri" w:hAnsi="Calibri"/>
          <w:color w:val="232323"/>
          <w:sz w:val="21"/>
          <w:szCs w:val="21"/>
        </w:rPr>
        <w:t xml:space="preserve">Documento de especificación de requerimientos y Product Backlog priorizado (Fase 1).</w:t>
      </w:r>
    </w:p>
    <w:p>
      <w:pPr>
        <w:pStyle w:val="ListParagraph"/>
        <w:numPr>
          <w:ilvl w:val="0"/>
          <w:numId w:val="2"/>
        </w:numPr>
        <w:spacing w:after="90" w:line="264"/>
      </w:pPr>
      <w:r>
        <w:rPr>
          <w:rFonts w:ascii="Calibri" w:cs="Calibri" w:eastAsia="Calibri" w:hAnsi="Calibri"/>
          <w:color w:val="232323"/>
          <w:sz w:val="21"/>
          <w:szCs w:val="21"/>
        </w:rPr>
        <w:t xml:space="preserve">Prototipo navegable de alta fidelidad, sistema de diseño (design system) y especificación de contratos de API (Fase 2).</w:t>
      </w:r>
    </w:p>
    <w:p>
      <w:pPr>
        <w:pStyle w:val="ListParagraph"/>
        <w:numPr>
          <w:ilvl w:val="0"/>
          <w:numId w:val="2"/>
        </w:numPr>
        <w:spacing w:after="90" w:line="264"/>
      </w:pPr>
      <w:r>
        <w:rPr>
          <w:rFonts w:ascii="Calibri" w:cs="Calibri" w:eastAsia="Calibri" w:hAnsi="Calibri"/>
          <w:color w:val="232323"/>
          <w:sz w:val="21"/>
          <w:szCs w:val="21"/>
        </w:rPr>
        <w:t xml:space="preserve">Entorno de desarrollo reproducible, repositorios configurados y pipeline de integración y despliegue continuo (Fase 3).</w:t>
      </w:r>
    </w:p>
    <w:p>
      <w:pPr>
        <w:pStyle w:val="ListParagraph"/>
        <w:numPr>
          <w:ilvl w:val="0"/>
          <w:numId w:val="2"/>
        </w:numPr>
        <w:spacing w:after="90" w:line="264"/>
      </w:pPr>
      <w:r>
        <w:rPr>
          <w:rFonts w:ascii="Calibri" w:cs="Calibri" w:eastAsia="Calibri" w:hAnsi="Calibri"/>
          <w:color w:val="232323"/>
          <w:sz w:val="21"/>
          <w:szCs w:val="21"/>
        </w:rPr>
        <w:t xml:space="preserve">Incrementos de producto funcionales entregados al cierre de cada sprint, con demostración (Sprint Review) a los interesados (Fase 4).</w:t>
      </w:r>
    </w:p>
    <w:p>
      <w:pPr>
        <w:pStyle w:val="ListParagraph"/>
        <w:numPr>
          <w:ilvl w:val="0"/>
          <w:numId w:val="2"/>
        </w:numPr>
        <w:spacing w:after="90" w:line="264"/>
      </w:pPr>
      <w:r>
        <w:rPr>
          <w:rFonts w:ascii="Calibri" w:cs="Calibri" w:eastAsia="Calibri" w:hAnsi="Calibri"/>
          <w:color w:val="232323"/>
          <w:sz w:val="21"/>
          <w:szCs w:val="21"/>
        </w:rPr>
        <w:t xml:space="preserve">Plan de pruebas, reportes de cobertura automatizada e informes de seguridad (Fase 5).</w:t>
      </w:r>
    </w:p>
    <w:p>
      <w:pPr>
        <w:pStyle w:val="ListParagraph"/>
        <w:numPr>
          <w:ilvl w:val="0"/>
          <w:numId w:val="2"/>
        </w:numPr>
        <w:spacing w:after="90" w:line="264"/>
      </w:pPr>
      <w:r>
        <w:rPr>
          <w:rFonts w:ascii="Calibri" w:cs="Calibri" w:eastAsia="Calibri" w:hAnsi="Calibri"/>
          <w:color w:val="232323"/>
          <w:sz w:val="21"/>
          <w:szCs w:val="21"/>
        </w:rPr>
        <w:t xml:space="preserve">Sistema en producción, runbook de despliegue y checklist de lanzamiento firmado (Fase 6).</w:t>
      </w:r>
    </w:p>
    <w:p>
      <w:pPr>
        <w:pStyle w:val="ListParagraph"/>
        <w:numPr>
          <w:ilvl w:val="0"/>
          <w:numId w:val="2"/>
        </w:numPr>
        <w:spacing w:after="90" w:line="264"/>
      </w:pPr>
      <w:r>
        <w:rPr>
          <w:rFonts w:ascii="Calibri" w:cs="Calibri" w:eastAsia="Calibri" w:hAnsi="Calibri"/>
          <w:color w:val="232323"/>
          <w:sz w:val="21"/>
          <w:szCs w:val="21"/>
        </w:rPr>
        <w:t xml:space="preserve">Runbooks operativos, bitácora de cambios (changelog) y acuerdos de nivel de servicio (SLA) documentados (Fase 7).</w:t>
      </w:r>
    </w:p>
    <w:p>
      <w:pPr>
        <w:pStyle w:val="Heading2"/>
        <w:spacing w:after="160" w:before="340"/>
      </w:pPr>
      <w:r>
        <w:rPr>
          <w:rFonts w:ascii="Calibri" w:cs="Calibri" w:eastAsia="Calibri" w:hAnsi="Calibri"/>
          <w:b/>
          <w:bCs/>
          <w:color w:val="1F6F4A"/>
          <w:sz w:val="26"/>
          <w:szCs w:val="26"/>
        </w:rPr>
        <w:t xml:space="preserve">1.6 Relación con Otros Documentos del Proyecto</w:t>
      </w:r>
    </w:p>
    <w:p>
      <w:pPr>
        <w:spacing w:after="160" w:line="276"/>
        <w:jc w:val="left"/>
      </w:pPr>
      <w:r>
        <w:rPr>
          <w:rFonts w:ascii="Calibri" w:cs="Calibri" w:eastAsia="Calibri" w:hAnsi="Calibri"/>
          <w:color w:val="232323"/>
          <w:sz w:val="21"/>
          <w:szCs w:val="21"/>
        </w:rPr>
        <w:t xml:space="preserve">Este Plan de Proyecto se apoya de forma explícita en tres secciones del Plan de Negocios KanchaYA, a las que remite en lugar de duplicar contenido: la sección 6 (Alcance del Proyecto, que define las fases de negocio), la sección 7 (Arquitectura Tecnológica, que define el stack y los microservicios) y la sección 14 (Equipo y Estructura Organizacional). La sección 2.3 de este documento presenta una tabla de correspondencia detallada entre ambos documentos.</w:t>
      </w:r>
    </w:p>
    <w:p>
      <w:pPr>
        <w:pStyle w:val="Heading1"/>
        <w:pageBreakBefore/>
        <w:pBdr>
          <w:bottom w:val="single" w:color="1F6F4A" w:sz="14" w:space="8"/>
        </w:pBdr>
        <w:spacing w:after="260" w:before="0"/>
      </w:pPr>
      <w:r>
        <w:rPr>
          <w:rFonts w:ascii="Calibri" w:cs="Calibri" w:eastAsia="Calibri" w:hAnsi="Calibri"/>
          <w:b/>
          <w:bCs/>
          <w:color w:val="173F32"/>
          <w:sz w:val="32"/>
          <w:szCs w:val="32"/>
        </w:rPr>
        <w:t xml:space="preserve">2. Introducción y Alineación con el Plan de Negocios</w:t>
      </w:r>
    </w:p>
    <w:p>
      <w:pPr>
        <w:pStyle w:val="Heading2"/>
        <w:spacing w:after="160" w:before="340"/>
      </w:pPr>
      <w:r>
        <w:rPr>
          <w:rFonts w:ascii="Calibri" w:cs="Calibri" w:eastAsia="Calibri" w:hAnsi="Calibri"/>
          <w:b/>
          <w:bCs/>
          <w:color w:val="1F6F4A"/>
          <w:sz w:val="26"/>
          <w:szCs w:val="26"/>
        </w:rPr>
        <w:t xml:space="preserve">2.1 Propósito del Documento</w:t>
      </w:r>
    </w:p>
    <w:p>
      <w:pPr>
        <w:spacing w:after="160" w:line="276"/>
        <w:jc w:val="both"/>
      </w:pPr>
      <w:r>
        <w:rPr>
          <w:rFonts w:ascii="Calibri" w:cs="Calibri" w:eastAsia="Calibri" w:hAnsi="Calibri"/>
          <w:color w:val="232323"/>
          <w:sz w:val="21"/>
          <w:szCs w:val="21"/>
        </w:rPr>
        <w:t xml:space="preserve">El Plan de Negocios KanchaYA (agosto de 2026) establece la justificación comercial, financiera y legal del proyecto. Sin embargo, un plan de negocios —por diseño— no especifica el </w:t>
      </w:r>
      <w:r>
        <w:rPr>
          <w:rFonts w:ascii="Calibri" w:cs="Calibri" w:eastAsia="Calibri" w:hAnsi="Calibri"/>
          <w:b/>
          <w:bCs/>
          <w:color w:val="232323"/>
          <w:sz w:val="21"/>
          <w:szCs w:val="21"/>
        </w:rPr>
        <w:t xml:space="preserve">cómo</w:t>
      </w:r>
      <w:r>
        <w:rPr>
          <w:rFonts w:ascii="Calibri" w:cs="Calibri" w:eastAsia="Calibri" w:hAnsi="Calibri"/>
          <w:color w:val="232323"/>
          <w:sz w:val="21"/>
          <w:szCs w:val="21"/>
        </w:rPr>
        <w:t xml:space="preserve"> técnico de la construcción: no define historias de usuario, criterios de aceptación, estrategia de pruebas, pipeline de despliegue ni el protocolo de gestión de incidentes en producción. Ese es precisamente el vacío que este Plan de Proyecto busca cubrir, actuando como puente entre la visión estratégica del negocio y la ejecución técnica del equipo de desarrollo.</w:t>
      </w:r>
    </w:p>
    <w:p>
      <w:pPr>
        <w:pStyle w:val="Heading2"/>
        <w:spacing w:after="160" w:before="340"/>
      </w:pPr>
      <w:r>
        <w:rPr>
          <w:rFonts w:ascii="Calibri" w:cs="Calibri" w:eastAsia="Calibri" w:hAnsi="Calibri"/>
          <w:b/>
          <w:bCs/>
          <w:color w:val="1F6F4A"/>
          <w:sz w:val="26"/>
          <w:szCs w:val="26"/>
        </w:rPr>
        <w:t xml:space="preserve">2.2 Alcance y Límites del Documento</w:t>
      </w:r>
    </w:p>
    <w:p>
      <w:pPr>
        <w:spacing w:after="160" w:line="276"/>
        <w:jc w:val="left"/>
      </w:pPr>
      <w:r>
        <w:rPr>
          <w:rFonts w:ascii="Calibri" w:cs="Calibri" w:eastAsia="Calibri" w:hAnsi="Calibri"/>
          <w:color w:val="232323"/>
          <w:sz w:val="21"/>
          <w:szCs w:val="21"/>
        </w:rPr>
        <w:t xml:space="preserve">Para evitar duplicidad, este documento </w:t>
      </w:r>
      <w:r>
        <w:rPr>
          <w:rFonts w:ascii="Calibri" w:cs="Calibri" w:eastAsia="Calibri" w:hAnsi="Calibri"/>
          <w:b/>
          <w:bCs/>
          <w:color w:val="232323"/>
          <w:sz w:val="21"/>
          <w:szCs w:val="21"/>
        </w:rPr>
        <w:t xml:space="preserve">no repite</w:t>
      </w:r>
      <w:r>
        <w:rPr>
          <w:rFonts w:ascii="Calibri" w:cs="Calibri" w:eastAsia="Calibri" w:hAnsi="Calibri"/>
          <w:color w:val="232323"/>
          <w:sz w:val="21"/>
          <w:szCs w:val="21"/>
        </w:rPr>
        <w:t xml:space="preserve"> el análisis de mercado, la valoración de la empresa, el marco legal ni las proyecciones financieras, todos ya desarrollados en el Plan de Negocios. Su alcance se limita a los aspectos de gestión de proyecto, ingeniería de software y operación técnica necesarios para construir y sostener la plataforma:</w:t>
      </w:r>
    </w:p>
    <w:p>
      <w:pPr>
        <w:pStyle w:val="ListParagraph"/>
        <w:numPr>
          <w:ilvl w:val="0"/>
          <w:numId w:val="2"/>
        </w:numPr>
        <w:spacing w:after="90" w:line="264"/>
      </w:pPr>
      <w:r>
        <w:rPr>
          <w:rFonts w:ascii="Calibri" w:cs="Calibri" w:eastAsia="Calibri" w:hAnsi="Calibri"/>
          <w:b/>
          <w:bCs/>
          <w:color w:val="232323"/>
          <w:sz w:val="21"/>
          <w:szCs w:val="21"/>
        </w:rPr>
        <w:t xml:space="preserve">Incluye: </w:t>
      </w:r>
      <w:r>
        <w:rPr>
          <w:rFonts w:ascii="Calibri" w:cs="Calibri" w:eastAsia="Calibri" w:hAnsi="Calibri"/>
          <w:color w:val="232323"/>
          <w:sz w:val="21"/>
          <w:szCs w:val="21"/>
        </w:rPr>
        <w:t xml:space="preserve">metodología de trabajo, ingeniería de requerimientos, diseño de producto, arquitectura de implementación, prácticas de desarrollo, estrategia de pruebas, estrategia de despliegue, operación y mantenimiento, cronograma de construcción, estructura del equipo de proyecto, riesgos técnicos y métricas ágiles.</w:t>
      </w:r>
    </w:p>
    <w:p>
      <w:pPr>
        <w:pStyle w:val="ListParagraph"/>
        <w:numPr>
          <w:ilvl w:val="0"/>
          <w:numId w:val="2"/>
        </w:numPr>
        <w:spacing w:after="90" w:line="264"/>
      </w:pPr>
      <w:r>
        <w:rPr>
          <w:rFonts w:ascii="Calibri" w:cs="Calibri" w:eastAsia="Calibri" w:hAnsi="Calibri"/>
          <w:b/>
          <w:bCs/>
          <w:color w:val="232323"/>
          <w:sz w:val="21"/>
          <w:szCs w:val="21"/>
        </w:rPr>
        <w:t xml:space="preserve">No incluye (remite al Plan de Negocios): </w:t>
      </w:r>
      <w:r>
        <w:rPr>
          <w:rFonts w:ascii="Calibri" w:cs="Calibri" w:eastAsia="Calibri" w:hAnsi="Calibri"/>
          <w:color w:val="232323"/>
          <w:sz w:val="21"/>
          <w:szCs w:val="21"/>
        </w:rPr>
        <w:t xml:space="preserve">análisis de mercado y competencia (sección 4 del Plan de Negocios), modelo de monetización (sección 8), plan de inversión (sección 9), proyecciones financieras (sección 10), valoración (sección 11) y marco legal-regulatorio (sección 13).</w:t>
      </w:r>
    </w:p>
    <w:p>
      <w:pPr>
        <w:pStyle w:val="Heading2"/>
        <w:spacing w:after="160" w:before="340"/>
      </w:pPr>
      <w:r>
        <w:rPr>
          <w:rFonts w:ascii="Calibri" w:cs="Calibri" w:eastAsia="Calibri" w:hAnsi="Calibri"/>
          <w:b/>
          <w:bCs/>
          <w:color w:val="1F6F4A"/>
          <w:sz w:val="26"/>
          <w:szCs w:val="26"/>
        </w:rPr>
        <w:t xml:space="preserve">2.3 Tabla de Correspondencia entre Documentos</w:t>
      </w:r>
    </w:p>
    <w:p>
      <w:pPr>
        <w:spacing w:after="160" w:line="276"/>
        <w:jc w:val="left"/>
      </w:pPr>
      <w:r>
        <w:rPr>
          <w:rFonts w:ascii="Calibri" w:cs="Calibri" w:eastAsia="Calibri" w:hAnsi="Calibri"/>
          <w:color w:val="232323"/>
          <w:sz w:val="21"/>
          <w:szCs w:val="21"/>
        </w:rPr>
        <w:t xml:space="preserve">La siguiente tabla facilita la navegación cruzada entre ambos documentos para los representantes que deseen profundizar en un tema específico.</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2474"/>
        <w:gridCol w:w="3298"/>
        <w:gridCol w:w="3300"/>
      </w:tblGrid>
      <w:tr>
        <w:trPr>
          <w:cantSplit/>
          <w:tblHeader/>
        </w:trPr>
        <w:tc>
          <w:tcPr>
            <w:tcW w:type="dxa" w:w="2474"/>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Tema</w:t>
            </w:r>
          </w:p>
        </w:tc>
        <w:tc>
          <w:tcPr>
            <w:tcW w:type="dxa" w:w="3298"/>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Plan de Negocios</w:t>
            </w:r>
          </w:p>
        </w:tc>
        <w:tc>
          <w:tcPr>
            <w:tcW w:type="dxa" w:w="3300"/>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Plan de Proyecto (este documento)</w:t>
            </w:r>
          </w:p>
        </w:tc>
      </w:tr>
      <w:tr>
        <w:trPr>
          <w:cantSplit/>
        </w:trPr>
        <w:tc>
          <w:tcPr>
            <w:tcW w:type="dxa" w:w="247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Arquitectura tecnológica general</w:t>
            </w:r>
          </w:p>
        </w:tc>
        <w:tc>
          <w:tcPr>
            <w:tcW w:type="dxa" w:w="3298"/>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Sección 7 (capas, microservicios, stack)</w:t>
            </w:r>
          </w:p>
        </w:tc>
        <w:tc>
          <w:tcPr>
            <w:tcW w:type="dxa" w:w="3300"/>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Sección 5.2 (detalle de implementación, diagramas)</w:t>
            </w:r>
          </w:p>
        </w:tc>
      </w:tr>
      <w:tr>
        <w:trPr>
          <w:cantSplit/>
        </w:trPr>
        <w:tc>
          <w:tcPr>
            <w:tcW w:type="dxa" w:w="247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Fases y alcance del producto</w:t>
            </w:r>
          </w:p>
        </w:tc>
        <w:tc>
          <w:tcPr>
            <w:tcW w:type="dxa" w:w="3298"/>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Sección 6 (qué incluye cada fase)</w:t>
            </w:r>
          </w:p>
        </w:tc>
        <w:tc>
          <w:tcPr>
            <w:tcW w:type="dxa" w:w="3300"/>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Secciones 4 a 10 (cómo se construye cada fase)</w:t>
            </w:r>
          </w:p>
        </w:tc>
      </w:tr>
      <w:tr>
        <w:trPr>
          <w:cantSplit/>
        </w:trPr>
        <w:tc>
          <w:tcPr>
            <w:tcW w:type="dxa" w:w="247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Equipo y roles</w:t>
            </w:r>
          </w:p>
        </w:tc>
        <w:tc>
          <w:tcPr>
            <w:tcW w:type="dxa" w:w="3298"/>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Sección 14 (estructura organizacional)</w:t>
            </w:r>
          </w:p>
        </w:tc>
        <w:tc>
          <w:tcPr>
            <w:tcW w:type="dxa" w:w="3300"/>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Sección 12 (mapeo a roles Scrum y matriz RACI)</w:t>
            </w:r>
          </w:p>
        </w:tc>
      </w:tr>
      <w:tr>
        <w:trPr>
          <w:cantSplit/>
        </w:trPr>
        <w:tc>
          <w:tcPr>
            <w:tcW w:type="dxa" w:w="247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Hoja de ruta / cronograma</w:t>
            </w:r>
          </w:p>
        </w:tc>
        <w:tc>
          <w:tcPr>
            <w:tcW w:type="dxa" w:w="3298"/>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Sección 16 (hitos por fase, 60 meses)</w:t>
            </w:r>
          </w:p>
        </w:tc>
        <w:tc>
          <w:tcPr>
            <w:tcW w:type="dxa" w:w="3300"/>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Sección 11 (cronograma detallado por sprint)</w:t>
            </w:r>
          </w:p>
        </w:tc>
      </w:tr>
      <w:tr>
        <w:trPr>
          <w:cantSplit/>
        </w:trPr>
        <w:tc>
          <w:tcPr>
            <w:tcW w:type="dxa" w:w="247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Riesgos</w:t>
            </w:r>
          </w:p>
        </w:tc>
        <w:tc>
          <w:tcPr>
            <w:tcW w:type="dxa" w:w="3298"/>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Sección 12 (riesgos de negocio y mercado)</w:t>
            </w:r>
          </w:p>
        </w:tc>
        <w:tc>
          <w:tcPr>
            <w:tcW w:type="dxa" w:w="3300"/>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Sección 13 (riesgos técnicos y de ejecución ágil)</w:t>
            </w:r>
          </w:p>
        </w:tc>
      </w:tr>
      <w:tr>
        <w:trPr>
          <w:cantSplit/>
        </w:trPr>
        <w:tc>
          <w:tcPr>
            <w:tcW w:type="dxa" w:w="247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Seguridad de la información</w:t>
            </w:r>
          </w:p>
        </w:tc>
        <w:tc>
          <w:tcPr>
            <w:tcW w:type="dxa" w:w="3298"/>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Sección 7.4 (principios y cumplimiento normativo)</w:t>
            </w:r>
          </w:p>
        </w:tc>
        <w:tc>
          <w:tcPr>
            <w:tcW w:type="dxa" w:w="3300"/>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Sección 8.3 (pruebas de seguridad aplicadas)</w:t>
            </w:r>
          </w:p>
        </w:tc>
      </w:tr>
      <w:tr>
        <w:trPr>
          <w:cantSplit/>
        </w:trPr>
        <w:tc>
          <w:tcPr>
            <w:tcW w:type="dxa" w:w="247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Indicadores de seguimiento</w:t>
            </w:r>
          </w:p>
        </w:tc>
        <w:tc>
          <w:tcPr>
            <w:tcW w:type="dxa" w:w="3298"/>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Sección 16.2 (KPI de negocio)</w:t>
            </w:r>
          </w:p>
        </w:tc>
        <w:tc>
          <w:tcPr>
            <w:tcW w:type="dxa" w:w="3300"/>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Sección 14 (métricas ágiles y de ingeniería)</w:t>
            </w:r>
          </w:p>
        </w:tc>
      </w:tr>
    </w:tbl>
    <w:p>
      <w:pPr>
        <w:spacing w:after="160"/>
      </w:pPr>
    </w:p>
    <w:p>
      <w:pPr>
        <w:pStyle w:val="Heading2"/>
        <w:spacing w:after="160" w:before="340"/>
      </w:pPr>
      <w:r>
        <w:rPr>
          <w:rFonts w:ascii="Calibri" w:cs="Calibri" w:eastAsia="Calibri" w:hAnsi="Calibri"/>
          <w:b/>
          <w:bCs/>
          <w:color w:val="1F6F4A"/>
          <w:sz w:val="26"/>
          <w:szCs w:val="26"/>
        </w:rPr>
        <w:t xml:space="preserve">2.4 Objetivos del Proyecto de Construcción</w:t>
      </w:r>
    </w:p>
    <w:p>
      <w:pPr>
        <w:pStyle w:val="Heading3"/>
        <w:spacing w:after="120" w:before="260"/>
      </w:pPr>
      <w:r>
        <w:rPr>
          <w:rFonts w:ascii="Calibri" w:cs="Calibri" w:eastAsia="Calibri" w:hAnsi="Calibri"/>
          <w:b/>
          <w:bCs/>
          <w:color w:val="2C4A3E"/>
          <w:sz w:val="23"/>
          <w:szCs w:val="23"/>
        </w:rPr>
        <w:t xml:space="preserve">2.4.1 Objetivo General</w:t>
      </w:r>
    </w:p>
    <w:p>
      <w:pPr>
        <w:spacing w:after="160" w:line="276"/>
        <w:jc w:val="left"/>
      </w:pPr>
      <w:r>
        <w:rPr>
          <w:rFonts w:ascii="Calibri" w:cs="Calibri" w:eastAsia="Calibri" w:hAnsi="Calibri"/>
          <w:color w:val="232323"/>
          <w:sz w:val="21"/>
          <w:szCs w:val="21"/>
        </w:rPr>
        <w:t xml:space="preserve">Construir, bajo el marco de trabajo Scrum, un incremento de producto funcional y de calidad verificable en cada sprint, hasta alcanzar un Producto Mínimo Viable desplegable en producción dentro de un horizonte aproximado de seis meses, y sostener posteriormente su operación mediante un ciclo continuo de mantenimiento, mejora y gestión de parches.</w:t>
      </w:r>
    </w:p>
    <w:p>
      <w:pPr>
        <w:pStyle w:val="Heading3"/>
        <w:spacing w:after="120" w:before="260"/>
      </w:pPr>
      <w:r>
        <w:rPr>
          <w:rFonts w:ascii="Calibri" w:cs="Calibri" w:eastAsia="Calibri" w:hAnsi="Calibri"/>
          <w:b/>
          <w:bCs/>
          <w:color w:val="2C4A3E"/>
          <w:sz w:val="23"/>
          <w:szCs w:val="23"/>
        </w:rPr>
        <w:t xml:space="preserve">2.4.2 Objetivos Específicos</w:t>
      </w:r>
    </w:p>
    <w:p>
      <w:pPr>
        <w:pStyle w:val="ListParagraph"/>
        <w:numPr>
          <w:ilvl w:val="0"/>
          <w:numId w:val="2"/>
        </w:numPr>
        <w:spacing w:after="90" w:line="264"/>
      </w:pPr>
      <w:r>
        <w:rPr>
          <w:rFonts w:ascii="Calibri" w:cs="Calibri" w:eastAsia="Calibri" w:hAnsi="Calibri"/>
          <w:color w:val="232323"/>
          <w:sz w:val="21"/>
          <w:szCs w:val="21"/>
        </w:rPr>
        <w:t xml:space="preserve">Levantar y priorizar un Product Backlog inicial de al menos 8 épicas y sus historias de usuario asociadas durante la Fase 1, con trazabilidad hacia los requerimientos de negocio.</w:t>
      </w:r>
    </w:p>
    <w:p>
      <w:pPr>
        <w:pStyle w:val="ListParagraph"/>
        <w:numPr>
          <w:ilvl w:val="0"/>
          <w:numId w:val="2"/>
        </w:numPr>
        <w:spacing w:after="90" w:line="264"/>
      </w:pPr>
      <w:r>
        <w:rPr>
          <w:rFonts w:ascii="Calibri" w:cs="Calibri" w:eastAsia="Calibri" w:hAnsi="Calibri"/>
          <w:color w:val="232323"/>
          <w:sz w:val="21"/>
          <w:szCs w:val="21"/>
        </w:rPr>
        <w:t xml:space="preserve">Entregar un prototipo navegable validado con usuarios reales antes de iniciar el desarrollo del primer sprint de construcción.</w:t>
      </w:r>
    </w:p>
    <w:p>
      <w:pPr>
        <w:pStyle w:val="ListParagraph"/>
        <w:numPr>
          <w:ilvl w:val="0"/>
          <w:numId w:val="2"/>
        </w:numPr>
        <w:spacing w:after="90" w:line="264"/>
      </w:pPr>
      <w:r>
        <w:rPr>
          <w:rFonts w:ascii="Calibri" w:cs="Calibri" w:eastAsia="Calibri" w:hAnsi="Calibri"/>
          <w:color w:val="232323"/>
          <w:sz w:val="21"/>
          <w:szCs w:val="21"/>
        </w:rPr>
        <w:t xml:space="preserve">Configurar un pipeline de integración y despliegue continuo (CI/CD) que permita desplegar a un entorno de pruebas en menos de 15 minutos desde cada integración a la rama principal.</w:t>
      </w:r>
    </w:p>
    <w:p>
      <w:pPr>
        <w:pStyle w:val="ListParagraph"/>
        <w:numPr>
          <w:ilvl w:val="0"/>
          <w:numId w:val="2"/>
        </w:numPr>
        <w:spacing w:after="90" w:line="264"/>
      </w:pPr>
      <w:r>
        <w:rPr>
          <w:rFonts w:ascii="Calibri" w:cs="Calibri" w:eastAsia="Calibri" w:hAnsi="Calibri"/>
          <w:color w:val="232323"/>
          <w:sz w:val="21"/>
          <w:szCs w:val="21"/>
        </w:rPr>
        <w:t xml:space="preserve">Alcanzar una cobertura de pruebas automatizadas no menor al 80 % en los servicios críticos (reservas, pagos) antes del primer despliegue a producción.</w:t>
      </w:r>
    </w:p>
    <w:p>
      <w:pPr>
        <w:pStyle w:val="ListParagraph"/>
        <w:numPr>
          <w:ilvl w:val="0"/>
          <w:numId w:val="2"/>
        </w:numPr>
        <w:spacing w:after="90" w:line="264"/>
      </w:pPr>
      <w:r>
        <w:rPr>
          <w:rFonts w:ascii="Calibri" w:cs="Calibri" w:eastAsia="Calibri" w:hAnsi="Calibri"/>
          <w:color w:val="232323"/>
          <w:sz w:val="21"/>
          <w:szCs w:val="21"/>
        </w:rPr>
        <w:t xml:space="preserve">Desplegar el MVP con 15 a 20 centros deportivos piloto en Cusco dentro de los primeros seis meses de construcción, en línea con la Fase 1 del alcance de negocio.</w:t>
      </w:r>
    </w:p>
    <w:p>
      <w:pPr>
        <w:pStyle w:val="ListParagraph"/>
        <w:numPr>
          <w:ilvl w:val="0"/>
          <w:numId w:val="2"/>
        </w:numPr>
        <w:spacing w:after="90" w:line="264"/>
      </w:pPr>
      <w:r>
        <w:rPr>
          <w:rFonts w:ascii="Calibri" w:cs="Calibri" w:eastAsia="Calibri" w:hAnsi="Calibri"/>
          <w:color w:val="232323"/>
          <w:sz w:val="21"/>
          <w:szCs w:val="21"/>
        </w:rPr>
        <w:t xml:space="preserve">Establecer un protocolo de gestión de incidentes y parches que garantice una disponibilidad objetivo (SLO) del 99.5 % una vez el sistema esté en producción.</w:t>
      </w:r>
    </w:p>
    <w:p>
      <w:pPr>
        <w:pStyle w:val="Heading1"/>
        <w:pageBreakBefore/>
        <w:pBdr>
          <w:bottom w:val="single" w:color="1F6F4A" w:sz="14" w:space="8"/>
        </w:pBdr>
        <w:spacing w:after="260" w:before="0"/>
      </w:pPr>
      <w:r>
        <w:rPr>
          <w:rFonts w:ascii="Calibri" w:cs="Calibri" w:eastAsia="Calibri" w:hAnsi="Calibri"/>
          <w:b/>
          <w:bCs/>
          <w:color w:val="173F32"/>
          <w:sz w:val="32"/>
          <w:szCs w:val="32"/>
        </w:rPr>
        <w:t xml:space="preserve">3. Marco Metodológico: Scrum y Desarrollo Ágil</w:t>
      </w:r>
    </w:p>
    <w:p>
      <w:pPr>
        <w:spacing w:after="160" w:line="276"/>
        <w:jc w:val="left"/>
      </w:pPr>
      <w:r>
        <w:rPr>
          <w:rFonts w:ascii="Calibri" w:cs="Calibri" w:eastAsia="Calibri" w:hAnsi="Calibri"/>
          <w:color w:val="232323"/>
          <w:sz w:val="21"/>
          <w:szCs w:val="21"/>
        </w:rPr>
        <w:t xml:space="preserve">Esta sección define, con nivel de detalle operativo, el marco de trabajo bajo el cual se ejecutará la construcción de KanchaYA. Se adopta Scrum como marco primario de gestión del trabajo, complementado con prácticas de ingeniería propias de Extreme Programming (XP) y de DevOps para el ciclo de integración y despliegue continuo, siguiendo el estándar descrito en la Guía de Scrum (Schwaber &amp; Sutherland, 2020).</w:t>
      </w:r>
    </w:p>
    <w:p>
      <w:pPr>
        <w:pStyle w:val="Heading2"/>
        <w:spacing w:after="160" w:before="340"/>
      </w:pPr>
      <w:r>
        <w:rPr>
          <w:rFonts w:ascii="Calibri" w:cs="Calibri" w:eastAsia="Calibri" w:hAnsi="Calibri"/>
          <w:b/>
          <w:bCs/>
          <w:color w:val="1F6F4A"/>
          <w:sz w:val="26"/>
          <w:szCs w:val="26"/>
        </w:rPr>
        <w:t xml:space="preserve">3.1 Justificación de la Elección Metodológica</w:t>
      </w:r>
    </w:p>
    <w:p>
      <w:pPr>
        <w:spacing w:after="160" w:line="276"/>
        <w:jc w:val="left"/>
      </w:pPr>
      <w:r>
        <w:rPr>
          <w:rFonts w:ascii="Calibri" w:cs="Calibri" w:eastAsia="Calibri" w:hAnsi="Calibri"/>
          <w:color w:val="232323"/>
          <w:sz w:val="21"/>
          <w:szCs w:val="21"/>
        </w:rPr>
        <w:t xml:space="preserve">Se evaluaron tres enfoques de gestión de proyecto para la construcción de KanchaYA: el modelo tradicional en cascada (waterfall), Kanban puro y Scrum. Se descarta el modelo en cascada por requerir especificación completa previa, incompatible con la validación temprana de mercado que exige un producto en etapa de descubrimiento. Se descarta Kanban puro —sin ciclos de planificación fijos— por dificultar el reporte periódico de avance a los representantes e inversionistas, un requisito explícito de gobierno corporativo del Plan de Negocios (sección 16.2). Scrum se adopta por ofrecer el balance más adecuado entre disciplina de planificación y capacidad de adaptación:</w:t>
      </w:r>
    </w:p>
    <w:p>
      <w:pPr>
        <w:pStyle w:val="ListParagraph"/>
        <w:numPr>
          <w:ilvl w:val="0"/>
          <w:numId w:val="2"/>
        </w:numPr>
        <w:spacing w:after="90" w:line="264"/>
      </w:pPr>
      <w:r>
        <w:rPr>
          <w:rFonts w:ascii="Calibri" w:cs="Calibri" w:eastAsia="Calibri" w:hAnsi="Calibri"/>
          <w:b/>
          <w:bCs/>
          <w:color w:val="232323"/>
          <w:sz w:val="21"/>
          <w:szCs w:val="21"/>
        </w:rPr>
        <w:t xml:space="preserve">Ciclos cortos de retroalimentación: </w:t>
      </w:r>
      <w:r>
        <w:rPr>
          <w:rFonts w:ascii="Calibri" w:cs="Calibri" w:eastAsia="Calibri" w:hAnsi="Calibri"/>
          <w:color w:val="232323"/>
          <w:sz w:val="21"/>
          <w:szCs w:val="21"/>
        </w:rPr>
        <w:t xml:space="preserve">cada sprint culmina con un incremento demostrable, reduciendo el riesgo de invertir semanas de desarrollo en funcionalidades que el mercado no valora.</w:t>
      </w:r>
    </w:p>
    <w:p>
      <w:pPr>
        <w:pStyle w:val="ListParagraph"/>
        <w:numPr>
          <w:ilvl w:val="0"/>
          <w:numId w:val="2"/>
        </w:numPr>
        <w:spacing w:after="90" w:line="264"/>
      </w:pPr>
      <w:r>
        <w:rPr>
          <w:rFonts w:ascii="Calibri" w:cs="Calibri" w:eastAsia="Calibri" w:hAnsi="Calibri"/>
          <w:b/>
          <w:bCs/>
          <w:color w:val="232323"/>
          <w:sz w:val="21"/>
          <w:szCs w:val="21"/>
        </w:rPr>
        <w:t xml:space="preserve">Transparencia hacia los interesados: </w:t>
      </w:r>
      <w:r>
        <w:rPr>
          <w:rFonts w:ascii="Calibri" w:cs="Calibri" w:eastAsia="Calibri" w:hAnsi="Calibri"/>
          <w:color w:val="232323"/>
          <w:sz w:val="21"/>
          <w:szCs w:val="21"/>
        </w:rPr>
        <w:t xml:space="preserve">el Sprint Review ofrece un mecanismo natural para reportar avances a los representantes, coherente con la periodicidad de reporte mensual definida en la sección 16.2 del Plan de Negocios.</w:t>
      </w:r>
    </w:p>
    <w:p>
      <w:pPr>
        <w:pStyle w:val="ListParagraph"/>
        <w:numPr>
          <w:ilvl w:val="0"/>
          <w:numId w:val="2"/>
        </w:numPr>
        <w:spacing w:after="90" w:line="264"/>
      </w:pPr>
      <w:r>
        <w:rPr>
          <w:rFonts w:ascii="Calibri" w:cs="Calibri" w:eastAsia="Calibri" w:hAnsi="Calibri"/>
          <w:b/>
          <w:bCs/>
          <w:color w:val="232323"/>
          <w:sz w:val="21"/>
          <w:szCs w:val="21"/>
        </w:rPr>
        <w:t xml:space="preserve">Escalabilidad organizacional: </w:t>
      </w:r>
      <w:r>
        <w:rPr>
          <w:rFonts w:ascii="Calibri" w:cs="Calibri" w:eastAsia="Calibri" w:hAnsi="Calibri"/>
          <w:color w:val="232323"/>
          <w:sz w:val="21"/>
          <w:szCs w:val="21"/>
        </w:rPr>
        <w:t xml:space="preserve">el mismo marco de trabajo puede escalar, mediante un modelo de múltiples equipos (por ejemplo, Scrum of Scrums), cuando el equipo crezca durante las fases 3 y 4 de expansión regional.</w:t>
      </w:r>
    </w:p>
    <w:p>
      <w:pPr>
        <w:pStyle w:val="Heading2"/>
        <w:spacing w:after="160" w:before="340"/>
      </w:pPr>
      <w:r>
        <w:rPr>
          <w:rFonts w:ascii="Calibri" w:cs="Calibri" w:eastAsia="Calibri" w:hAnsi="Calibri"/>
          <w:b/>
          <w:bCs/>
          <w:color w:val="1F6F4A"/>
          <w:sz w:val="26"/>
          <w:szCs w:val="26"/>
        </w:rPr>
        <w:t xml:space="preserve">3.2 Principios del Manifiesto Ágil Aplicados a KanchaYA</w:t>
      </w:r>
    </w:p>
    <w:p>
      <w:pPr>
        <w:spacing w:after="160" w:line="276"/>
        <w:jc w:val="left"/>
      </w:pPr>
      <w:r>
        <w:rPr>
          <w:rFonts w:ascii="Calibri" w:cs="Calibri" w:eastAsia="Calibri" w:hAnsi="Calibri"/>
          <w:color w:val="232323"/>
          <w:sz w:val="21"/>
          <w:szCs w:val="21"/>
        </w:rPr>
        <w:t xml:space="preserve">El equipo de desarrollo adopta los cuatro valores del Manifiesto por el Desarrollo Ágil de Software (Beck et al., 2001) como principios rectores del día a día del proyecto:</w:t>
      </w:r>
    </w:p>
    <w:p>
      <w:pPr>
        <w:pStyle w:val="ListParagraph"/>
        <w:numPr>
          <w:ilvl w:val="0"/>
          <w:numId w:val="2"/>
        </w:numPr>
        <w:spacing w:after="90" w:line="264"/>
      </w:pPr>
      <w:r>
        <w:rPr>
          <w:rFonts w:ascii="Calibri" w:cs="Calibri" w:eastAsia="Calibri" w:hAnsi="Calibri"/>
          <w:b/>
          <w:bCs/>
          <w:color w:val="232323"/>
          <w:sz w:val="21"/>
          <w:szCs w:val="21"/>
        </w:rPr>
        <w:t xml:space="preserve">Individuos e interacciones sobre procesos y herramientas: </w:t>
      </w:r>
      <w:r>
        <w:rPr>
          <w:rFonts w:ascii="Calibri" w:cs="Calibri" w:eastAsia="Calibri" w:hAnsi="Calibri"/>
          <w:color w:val="232323"/>
          <w:sz w:val="21"/>
          <w:szCs w:val="21"/>
        </w:rPr>
        <w:t xml:space="preserve">se prioriza la comunicación directa entre el equipo técnico y los centros deportivos piloto por encima de la documentación exhaustiva de procesos internos.</w:t>
      </w:r>
    </w:p>
    <w:p>
      <w:pPr>
        <w:pStyle w:val="ListParagraph"/>
        <w:numPr>
          <w:ilvl w:val="0"/>
          <w:numId w:val="2"/>
        </w:numPr>
        <w:spacing w:after="90" w:line="264"/>
      </w:pPr>
      <w:r>
        <w:rPr>
          <w:rFonts w:ascii="Calibri" w:cs="Calibri" w:eastAsia="Calibri" w:hAnsi="Calibri"/>
          <w:b/>
          <w:bCs/>
          <w:color w:val="232323"/>
          <w:sz w:val="21"/>
          <w:szCs w:val="21"/>
        </w:rPr>
        <w:t xml:space="preserve">Software funcionando sobre documentación exhaustiva: </w:t>
      </w:r>
      <w:r>
        <w:rPr>
          <w:rFonts w:ascii="Calibri" w:cs="Calibri" w:eastAsia="Calibri" w:hAnsi="Calibri"/>
          <w:color w:val="232323"/>
          <w:sz w:val="21"/>
          <w:szCs w:val="21"/>
        </w:rPr>
        <w:t xml:space="preserve">el criterio de avance del proyecto es el incremento de producto desplegado y funcional, no el número de documentos producidos.</w:t>
      </w:r>
    </w:p>
    <w:p>
      <w:pPr>
        <w:pStyle w:val="ListParagraph"/>
        <w:numPr>
          <w:ilvl w:val="0"/>
          <w:numId w:val="2"/>
        </w:numPr>
        <w:spacing w:after="90" w:line="264"/>
      </w:pPr>
      <w:r>
        <w:rPr>
          <w:rFonts w:ascii="Calibri" w:cs="Calibri" w:eastAsia="Calibri" w:hAnsi="Calibri"/>
          <w:b/>
          <w:bCs/>
          <w:color w:val="232323"/>
          <w:sz w:val="21"/>
          <w:szCs w:val="21"/>
        </w:rPr>
        <w:t xml:space="preserve">Colaboración con el cliente sobre negociación contractual: </w:t>
      </w:r>
      <w:r>
        <w:rPr>
          <w:rFonts w:ascii="Calibri" w:cs="Calibri" w:eastAsia="Calibri" w:hAnsi="Calibri"/>
          <w:color w:val="232323"/>
          <w:sz w:val="21"/>
          <w:szCs w:val="21"/>
        </w:rPr>
        <w:t xml:space="preserve">los administradores de los centros deportivos piloto participan activamente en la validación de cada incremento, en lugar de recibir el producto terminado al final del proyecto.</w:t>
      </w:r>
    </w:p>
    <w:p>
      <w:pPr>
        <w:pStyle w:val="ListParagraph"/>
        <w:numPr>
          <w:ilvl w:val="0"/>
          <w:numId w:val="2"/>
        </w:numPr>
        <w:spacing w:after="90" w:line="264"/>
      </w:pPr>
      <w:r>
        <w:rPr>
          <w:rFonts w:ascii="Calibri" w:cs="Calibri" w:eastAsia="Calibri" w:hAnsi="Calibri"/>
          <w:b/>
          <w:bCs/>
          <w:color w:val="232323"/>
          <w:sz w:val="21"/>
          <w:szCs w:val="21"/>
        </w:rPr>
        <w:t xml:space="preserve">Respuesta ante el cambio sobre seguir un plan: </w:t>
      </w:r>
      <w:r>
        <w:rPr>
          <w:rFonts w:ascii="Calibri" w:cs="Calibri" w:eastAsia="Calibri" w:hAnsi="Calibri"/>
          <w:color w:val="232323"/>
          <w:sz w:val="21"/>
          <w:szCs w:val="21"/>
        </w:rPr>
        <w:t xml:space="preserve">el Product Backlog se re-prioriza en cada sesión de refinamiento en función de lo aprendido, en lugar de ejecutar de forma rígida un cronograma fijado con doce meses de anticipación.</w:t>
      </w:r>
    </w:p>
    <w:p>
      <w:pPr>
        <w:pStyle w:val="Heading2"/>
        <w:spacing w:after="160" w:before="340"/>
      </w:pPr>
      <w:r>
        <w:rPr>
          <w:rFonts w:ascii="Calibri" w:cs="Calibri" w:eastAsia="Calibri" w:hAnsi="Calibri"/>
          <w:b/>
          <w:bCs/>
          <w:color w:val="1F6F4A"/>
          <w:sz w:val="26"/>
          <w:szCs w:val="26"/>
        </w:rPr>
        <w:t xml:space="preserve">3.3 Roles Scrum</w:t>
      </w:r>
    </w:p>
    <w:p>
      <w:pPr>
        <w:spacing w:after="160" w:line="276"/>
        <w:jc w:val="left"/>
      </w:pPr>
      <w:r>
        <w:rPr>
          <w:rFonts w:ascii="Calibri" w:cs="Calibri" w:eastAsia="Calibri" w:hAnsi="Calibri"/>
          <w:color w:val="232323"/>
          <w:sz w:val="21"/>
          <w:szCs w:val="21"/>
        </w:rPr>
        <w:t xml:space="preserve">Scrum define tres roles con responsabilidades claramente diferenciadas y complementarias. La sección 12.1 de este documento detalla el mapeo específico de estos roles hacia la estructura organizacional de seis posiciones definida en la sección 14 del Plan de Negocios.</w:t>
      </w:r>
    </w:p>
    <w:p>
      <w:pPr>
        <w:pStyle w:val="Heading3"/>
        <w:spacing w:after="120" w:before="260"/>
      </w:pPr>
      <w:r>
        <w:rPr>
          <w:rFonts w:ascii="Calibri" w:cs="Calibri" w:eastAsia="Calibri" w:hAnsi="Calibri"/>
          <w:b/>
          <w:bCs/>
          <w:color w:val="2C4A3E"/>
          <w:sz w:val="23"/>
          <w:szCs w:val="23"/>
        </w:rPr>
        <w:t xml:space="preserve">3.3.1 Product Owner (Dueño de Producto)</w:t>
      </w:r>
    </w:p>
    <w:p>
      <w:pPr>
        <w:spacing w:after="160" w:line="276"/>
        <w:jc w:val="left"/>
      </w:pPr>
      <w:r>
        <w:rPr>
          <w:rFonts w:ascii="Calibri" w:cs="Calibri" w:eastAsia="Calibri" w:hAnsi="Calibri"/>
          <w:color w:val="232323"/>
          <w:sz w:val="21"/>
          <w:szCs w:val="21"/>
        </w:rPr>
        <w:t xml:space="preserve">Responsable de maximizar el valor del producto resultante del trabajo del equipo de desarrollo. Es la única persona autorizada para priorizar el Product Backlog. En KanchaYA, este rol recae naturalmente en el fundador(a) / CEO, dado su conocimiento directo del mercado cusqueño y su relación con los representantes e inversionistas.</w:t>
      </w:r>
    </w:p>
    <w:p>
      <w:pPr>
        <w:pStyle w:val="ListParagraph"/>
        <w:numPr>
          <w:ilvl w:val="0"/>
          <w:numId w:val="2"/>
        </w:numPr>
        <w:spacing w:after="90" w:line="264"/>
      </w:pPr>
      <w:r>
        <w:rPr>
          <w:rFonts w:ascii="Calibri" w:cs="Calibri" w:eastAsia="Calibri" w:hAnsi="Calibri"/>
          <w:color w:val="232323"/>
          <w:sz w:val="21"/>
          <w:szCs w:val="21"/>
        </w:rPr>
        <w:t xml:space="preserve">Define y comunica el objetivo del producto (Product Goal).</w:t>
      </w:r>
    </w:p>
    <w:p>
      <w:pPr>
        <w:pStyle w:val="ListParagraph"/>
        <w:numPr>
          <w:ilvl w:val="0"/>
          <w:numId w:val="2"/>
        </w:numPr>
        <w:spacing w:after="90" w:line="264"/>
      </w:pPr>
      <w:r>
        <w:rPr>
          <w:rFonts w:ascii="Calibri" w:cs="Calibri" w:eastAsia="Calibri" w:hAnsi="Calibri"/>
          <w:color w:val="232323"/>
          <w:sz w:val="21"/>
          <w:szCs w:val="21"/>
        </w:rPr>
        <w:t xml:space="preserve">Crea y ordena por prioridad los elementos del Product Backlog.</w:t>
      </w:r>
    </w:p>
    <w:p>
      <w:pPr>
        <w:pStyle w:val="ListParagraph"/>
        <w:numPr>
          <w:ilvl w:val="0"/>
          <w:numId w:val="2"/>
        </w:numPr>
        <w:spacing w:after="90" w:line="264"/>
      </w:pPr>
      <w:r>
        <w:rPr>
          <w:rFonts w:ascii="Calibri" w:cs="Calibri" w:eastAsia="Calibri" w:hAnsi="Calibri"/>
          <w:color w:val="232323"/>
          <w:sz w:val="21"/>
          <w:szCs w:val="21"/>
        </w:rPr>
        <w:t xml:space="preserve">Garantiza que el Product Backlog sea visible, transparente y comprendido por el equipo.</w:t>
      </w:r>
    </w:p>
    <w:p>
      <w:pPr>
        <w:pStyle w:val="ListParagraph"/>
        <w:numPr>
          <w:ilvl w:val="0"/>
          <w:numId w:val="2"/>
        </w:numPr>
        <w:spacing w:after="90" w:line="264"/>
      </w:pPr>
      <w:r>
        <w:rPr>
          <w:rFonts w:ascii="Calibri" w:cs="Calibri" w:eastAsia="Calibri" w:hAnsi="Calibri"/>
          <w:color w:val="232323"/>
          <w:sz w:val="21"/>
          <w:szCs w:val="21"/>
        </w:rPr>
        <w:t xml:space="preserve">Acepta o rechaza los incrementos entregados al cierre de cada sprint, verificando su cumplimiento de la Definición de Terminado.</w:t>
      </w:r>
    </w:p>
    <w:p>
      <w:pPr>
        <w:pStyle w:val="Heading3"/>
        <w:spacing w:after="120" w:before="260"/>
      </w:pPr>
      <w:r>
        <w:rPr>
          <w:rFonts w:ascii="Calibri" w:cs="Calibri" w:eastAsia="Calibri" w:hAnsi="Calibri"/>
          <w:b/>
          <w:bCs/>
          <w:color w:val="2C4A3E"/>
          <w:sz w:val="23"/>
          <w:szCs w:val="23"/>
        </w:rPr>
        <w:t xml:space="preserve">3.3.2 Scrum Master</w:t>
      </w:r>
    </w:p>
    <w:p>
      <w:pPr>
        <w:spacing w:after="160" w:line="276"/>
        <w:jc w:val="left"/>
      </w:pPr>
      <w:r>
        <w:rPr>
          <w:rFonts w:ascii="Calibri" w:cs="Calibri" w:eastAsia="Calibri" w:hAnsi="Calibri"/>
          <w:color w:val="232323"/>
          <w:sz w:val="21"/>
          <w:szCs w:val="21"/>
        </w:rPr>
        <w:t xml:space="preserve">Responsable de que el equipo comprenda y aplique correctamente la teoría, las prácticas y las reglas de Scrum, actuando como facilitador y removedor de impedimentos. En KanchaYA, este rol se asigna al CTO o líder técnico, combinado con sus responsabilidades de arquitectura durante la etapa inicial del proyecto.</w:t>
      </w:r>
    </w:p>
    <w:p>
      <w:pPr>
        <w:pStyle w:val="ListParagraph"/>
        <w:numPr>
          <w:ilvl w:val="0"/>
          <w:numId w:val="2"/>
        </w:numPr>
        <w:spacing w:after="90" w:line="264"/>
      </w:pPr>
      <w:r>
        <w:rPr>
          <w:rFonts w:ascii="Calibri" w:cs="Calibri" w:eastAsia="Calibri" w:hAnsi="Calibri"/>
          <w:color w:val="232323"/>
          <w:sz w:val="21"/>
          <w:szCs w:val="21"/>
        </w:rPr>
        <w:t xml:space="preserve">Facilita las ceremonias Scrum (Sprint Planning, Daily Scrum, Sprint Review, Retrospective).</w:t>
      </w:r>
    </w:p>
    <w:p>
      <w:pPr>
        <w:pStyle w:val="ListParagraph"/>
        <w:numPr>
          <w:ilvl w:val="0"/>
          <w:numId w:val="2"/>
        </w:numPr>
        <w:spacing w:after="90" w:line="264"/>
      </w:pPr>
      <w:r>
        <w:rPr>
          <w:rFonts w:ascii="Calibri" w:cs="Calibri" w:eastAsia="Calibri" w:hAnsi="Calibri"/>
          <w:color w:val="232323"/>
          <w:sz w:val="21"/>
          <w:szCs w:val="21"/>
        </w:rPr>
        <w:t xml:space="preserve">Identifica y remueve impedimentos que bloqueen el avance del equipo de desarrollo.</w:t>
      </w:r>
    </w:p>
    <w:p>
      <w:pPr>
        <w:pStyle w:val="ListParagraph"/>
        <w:numPr>
          <w:ilvl w:val="0"/>
          <w:numId w:val="2"/>
        </w:numPr>
        <w:spacing w:after="90" w:line="264"/>
      </w:pPr>
      <w:r>
        <w:rPr>
          <w:rFonts w:ascii="Calibri" w:cs="Calibri" w:eastAsia="Calibri" w:hAnsi="Calibri"/>
          <w:color w:val="232323"/>
          <w:sz w:val="21"/>
          <w:szCs w:val="21"/>
        </w:rPr>
        <w:t xml:space="preserve">Protege al equipo de interrupciones externas y de compromisos de alcance no gestionados durante el sprint.</w:t>
      </w:r>
    </w:p>
    <w:p>
      <w:pPr>
        <w:pStyle w:val="ListParagraph"/>
        <w:numPr>
          <w:ilvl w:val="0"/>
          <w:numId w:val="2"/>
        </w:numPr>
        <w:spacing w:after="90" w:line="264"/>
      </w:pPr>
      <w:r>
        <w:rPr>
          <w:rFonts w:ascii="Calibri" w:cs="Calibri" w:eastAsia="Calibri" w:hAnsi="Calibri"/>
          <w:color w:val="232323"/>
          <w:sz w:val="21"/>
          <w:szCs w:val="21"/>
        </w:rPr>
        <w:t xml:space="preserve">Promueve la mejora continua del proceso de trabajo del equipo.</w:t>
      </w:r>
    </w:p>
    <w:p>
      <w:pPr>
        <w:pStyle w:val="Heading3"/>
        <w:spacing w:after="120" w:before="260"/>
      </w:pPr>
      <w:r>
        <w:rPr>
          <w:rFonts w:ascii="Calibri" w:cs="Calibri" w:eastAsia="Calibri" w:hAnsi="Calibri"/>
          <w:b/>
          <w:bCs/>
          <w:color w:val="2C4A3E"/>
          <w:sz w:val="23"/>
          <w:szCs w:val="23"/>
        </w:rPr>
        <w:t xml:space="preserve">3.3.3 Equipo de Desarrollo (Development Team)</w:t>
      </w:r>
    </w:p>
    <w:p>
      <w:pPr>
        <w:spacing w:after="160" w:line="276"/>
        <w:jc w:val="left"/>
      </w:pPr>
      <w:r>
        <w:rPr>
          <w:rFonts w:ascii="Calibri" w:cs="Calibri" w:eastAsia="Calibri" w:hAnsi="Calibri"/>
          <w:color w:val="232323"/>
          <w:sz w:val="21"/>
          <w:szCs w:val="21"/>
        </w:rPr>
        <w:t xml:space="preserve">Grupo multidisciplinario y autoorganizado responsable de convertir los elementos del Product Backlog en incrementos de producto potencialmente desplegables al cierre de cada sprint. En KanchaYA, está compuesto por el/la desarrollador(a) full-stack adicional, el diseño UX/UI y, según la carga de trabajo, el propio CTO en su faceta de desarrollo.</w:t>
      </w:r>
    </w:p>
    <w:p>
      <w:pPr>
        <w:pStyle w:val="ListParagraph"/>
        <w:numPr>
          <w:ilvl w:val="0"/>
          <w:numId w:val="2"/>
        </w:numPr>
        <w:spacing w:after="90" w:line="264"/>
      </w:pPr>
      <w:r>
        <w:rPr>
          <w:rFonts w:ascii="Calibri" w:cs="Calibri" w:eastAsia="Calibri" w:hAnsi="Calibri"/>
          <w:color w:val="232323"/>
          <w:sz w:val="21"/>
          <w:szCs w:val="21"/>
        </w:rPr>
        <w:t xml:space="preserve">Estima el esfuerzo de los elementos del Product Backlog (story points).</w:t>
      </w:r>
    </w:p>
    <w:p>
      <w:pPr>
        <w:pStyle w:val="ListParagraph"/>
        <w:numPr>
          <w:ilvl w:val="0"/>
          <w:numId w:val="2"/>
        </w:numPr>
        <w:spacing w:after="90" w:line="264"/>
      </w:pPr>
      <w:r>
        <w:rPr>
          <w:rFonts w:ascii="Calibri" w:cs="Calibri" w:eastAsia="Calibri" w:hAnsi="Calibri"/>
          <w:color w:val="232323"/>
          <w:sz w:val="21"/>
          <w:szCs w:val="21"/>
        </w:rPr>
        <w:t xml:space="preserve">Se compromete con un Sprint Backlog realista durante el Sprint Planning.</w:t>
      </w:r>
    </w:p>
    <w:p>
      <w:pPr>
        <w:pStyle w:val="ListParagraph"/>
        <w:numPr>
          <w:ilvl w:val="0"/>
          <w:numId w:val="2"/>
        </w:numPr>
        <w:spacing w:after="90" w:line="264"/>
      </w:pPr>
      <w:r>
        <w:rPr>
          <w:rFonts w:ascii="Calibri" w:cs="Calibri" w:eastAsia="Calibri" w:hAnsi="Calibri"/>
          <w:color w:val="232323"/>
          <w:sz w:val="21"/>
          <w:szCs w:val="21"/>
        </w:rPr>
        <w:t xml:space="preserve">Diseña, construye, prueba e integra el incremento de producto.</w:t>
      </w:r>
    </w:p>
    <w:p>
      <w:pPr>
        <w:pStyle w:val="ListParagraph"/>
        <w:numPr>
          <w:ilvl w:val="0"/>
          <w:numId w:val="2"/>
        </w:numPr>
        <w:spacing w:after="90" w:line="264"/>
      </w:pPr>
      <w:r>
        <w:rPr>
          <w:rFonts w:ascii="Calibri" w:cs="Calibri" w:eastAsia="Calibri" w:hAnsi="Calibri"/>
          <w:color w:val="232323"/>
          <w:sz w:val="21"/>
          <w:szCs w:val="21"/>
        </w:rPr>
        <w:t xml:space="preserve">Reporta el avance diario durante el Daily Scrum y ajusta su plan de trabajo de forma autónoma.</w:t>
      </w:r>
    </w:p>
    <w:p>
      <w:pPr>
        <w:pStyle w:val="Heading2"/>
        <w:spacing w:after="160" w:before="340"/>
      </w:pPr>
      <w:r>
        <w:rPr>
          <w:rFonts w:ascii="Calibri" w:cs="Calibri" w:eastAsia="Calibri" w:hAnsi="Calibri"/>
          <w:b/>
          <w:bCs/>
          <w:color w:val="1F6F4A"/>
          <w:sz w:val="26"/>
          <w:szCs w:val="26"/>
        </w:rPr>
        <w:t xml:space="preserve">3.4 Eventos Scrum (Ceremonias)</w:t>
      </w:r>
    </w:p>
    <w:p>
      <w:pPr>
        <w:spacing w:after="160" w:line="276"/>
        <w:jc w:val="left"/>
      </w:pPr>
      <w:r>
        <w:rPr>
          <w:rFonts w:ascii="Calibri" w:cs="Calibri" w:eastAsia="Calibri" w:hAnsi="Calibri"/>
          <w:color w:val="232323"/>
          <w:sz w:val="21"/>
          <w:szCs w:val="21"/>
        </w:rPr>
        <w:t xml:space="preserve">Los eventos Scrum son de duración fija (timeboxed) y crean una cadencia regular que reduce la necesidad de reuniones no planificadas. Para sprints de dos semanas, se recomienda la siguiente duración máxima por evento:</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2268"/>
        <w:gridCol w:w="2268"/>
        <w:gridCol w:w="4536"/>
      </w:tblGrid>
      <w:tr>
        <w:trPr>
          <w:cantSplit/>
          <w:tblHeader/>
        </w:trPr>
        <w:tc>
          <w:tcPr>
            <w:tcW w:type="dxa" w:w="2268"/>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Evento</w:t>
            </w:r>
          </w:p>
        </w:tc>
        <w:tc>
          <w:tcPr>
            <w:tcW w:type="dxa" w:w="2268"/>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Duración máxima recomendada</w:t>
            </w:r>
          </w:p>
        </w:tc>
        <w:tc>
          <w:tcPr>
            <w:tcW w:type="dxa" w:w="4536"/>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Propósito</w:t>
            </w:r>
          </w:p>
        </w:tc>
      </w:tr>
      <w:tr>
        <w:trPr>
          <w:cantSplit/>
        </w:trPr>
        <w:tc>
          <w:tcPr>
            <w:tcW w:type="dxa" w:w="2268"/>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Sprint Planning (Planificación del Sprint)</w:t>
            </w:r>
          </w:p>
        </w:tc>
        <w:tc>
          <w:tcPr>
            <w:tcW w:type="dxa" w:w="2268"/>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4 horas</w:t>
            </w:r>
          </w:p>
        </w:tc>
        <w:tc>
          <w:tcPr>
            <w:tcW w:type="dxa" w:w="453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Definir el objetivo del sprint (Sprint Goal) y seleccionar los elementos del Product Backlog que conformarán el Sprint Backlog</w:t>
            </w:r>
          </w:p>
        </w:tc>
      </w:tr>
      <w:tr>
        <w:trPr>
          <w:cantSplit/>
        </w:trPr>
        <w:tc>
          <w:tcPr>
            <w:tcW w:type="dxa" w:w="2268"/>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Daily Scrum (reunión diaria)</w:t>
            </w:r>
          </w:p>
        </w:tc>
        <w:tc>
          <w:tcPr>
            <w:tcW w:type="dxa" w:w="2268"/>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15 minutos</w:t>
            </w:r>
          </w:p>
        </w:tc>
        <w:tc>
          <w:tcPr>
            <w:tcW w:type="dxa" w:w="453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Sincronizar al equipo, inspeccionar el avance hacia el Sprint Goal y ajustar el plan del día</w:t>
            </w:r>
          </w:p>
        </w:tc>
      </w:tr>
      <w:tr>
        <w:trPr>
          <w:cantSplit/>
        </w:trPr>
        <w:tc>
          <w:tcPr>
            <w:tcW w:type="dxa" w:w="2268"/>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Refinamiento del Backlog (Backlog Grooming)</w:t>
            </w:r>
          </w:p>
        </w:tc>
        <w:tc>
          <w:tcPr>
            <w:tcW w:type="dxa" w:w="2268"/>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2 horas por sprint (recomendado a mitad de sprint)</w:t>
            </w:r>
          </w:p>
        </w:tc>
        <w:tc>
          <w:tcPr>
            <w:tcW w:type="dxa" w:w="453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Detallar, estimar y clarificar elementos del Product Backlog próximos a entrar en un sprint</w:t>
            </w:r>
          </w:p>
        </w:tc>
      </w:tr>
      <w:tr>
        <w:trPr>
          <w:cantSplit/>
        </w:trPr>
        <w:tc>
          <w:tcPr>
            <w:tcW w:type="dxa" w:w="2268"/>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Sprint Review (Revisión del Sprint)</w:t>
            </w:r>
          </w:p>
        </w:tc>
        <w:tc>
          <w:tcPr>
            <w:tcW w:type="dxa" w:w="2268"/>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2 horas</w:t>
            </w:r>
          </w:p>
        </w:tc>
        <w:tc>
          <w:tcPr>
            <w:tcW w:type="dxa" w:w="453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Inspeccionar el incremento junto a los interesados y adaptar el Product Backlog según retroalimentación</w:t>
            </w:r>
          </w:p>
        </w:tc>
      </w:tr>
      <w:tr>
        <w:trPr>
          <w:cantSplit/>
        </w:trPr>
        <w:tc>
          <w:tcPr>
            <w:tcW w:type="dxa" w:w="2268"/>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Sprint Retrospective (Retrospectiva)</w:t>
            </w:r>
          </w:p>
        </w:tc>
        <w:tc>
          <w:tcPr>
            <w:tcW w:type="dxa" w:w="2268"/>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1.5 horas</w:t>
            </w:r>
          </w:p>
        </w:tc>
        <w:tc>
          <w:tcPr>
            <w:tcW w:type="dxa" w:w="453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Inspeccionar cómo transcurrió el sprint en cuanto a personas, relaciones, procesos y herramientas, e identificar mejoras</w:t>
            </w:r>
          </w:p>
        </w:tc>
      </w:tr>
    </w:tbl>
    <w:p>
      <w:pPr>
        <w:spacing w:after="160"/>
      </w:pPr>
    </w:p>
    <w:p>
      <w:pPr>
        <w:spacing w:after="220" w:before="60"/>
        <w:ind w:left="200"/>
      </w:pPr>
      <w:r>
        <w:rPr>
          <w:rFonts w:ascii="Calibri" w:cs="Calibri" w:eastAsia="Calibri" w:hAnsi="Calibri"/>
          <w:i/>
          <w:iCs/>
          <w:color w:val="5B5B5B"/>
          <w:sz w:val="19"/>
          <w:szCs w:val="19"/>
        </w:rPr>
        <w:t xml:space="preserve">Las duraciones indicadas corresponden al máximo recomendado por la Guía de Scrum (Schwaber &amp; Sutherland, 2020) para sprints de un mes; para sprints de dos semanas, como los propuestos para KanchaYA, se recomienda usar aproximadamente la mitad de estos tiempos.</w:t>
      </w:r>
    </w:p>
    <w:p>
      <w:pPr>
        <w:pStyle w:val="Heading2"/>
        <w:spacing w:after="160" w:before="340"/>
      </w:pPr>
      <w:r>
        <w:rPr>
          <w:rFonts w:ascii="Calibri" w:cs="Calibri" w:eastAsia="Calibri" w:hAnsi="Calibri"/>
          <w:b/>
          <w:bCs/>
          <w:color w:val="1F6F4A"/>
          <w:sz w:val="26"/>
          <w:szCs w:val="26"/>
        </w:rPr>
        <w:t xml:space="preserve">3.5 Artefactos Scrum</w:t>
      </w:r>
    </w:p>
    <w:p>
      <w:pPr>
        <w:pStyle w:val="Heading3"/>
        <w:spacing w:after="120" w:before="260"/>
      </w:pPr>
      <w:r>
        <w:rPr>
          <w:rFonts w:ascii="Calibri" w:cs="Calibri" w:eastAsia="Calibri" w:hAnsi="Calibri"/>
          <w:b/>
          <w:bCs/>
          <w:color w:val="2C4A3E"/>
          <w:sz w:val="23"/>
          <w:szCs w:val="23"/>
        </w:rPr>
        <w:t xml:space="preserve">3.5.1 Product Backlog</w:t>
      </w:r>
    </w:p>
    <w:p>
      <w:pPr>
        <w:spacing w:after="160" w:line="276"/>
        <w:jc w:val="left"/>
      </w:pPr>
      <w:r>
        <w:rPr>
          <w:rFonts w:ascii="Calibri" w:cs="Calibri" w:eastAsia="Calibri" w:hAnsi="Calibri"/>
          <w:color w:val="232323"/>
          <w:sz w:val="21"/>
          <w:szCs w:val="21"/>
        </w:rPr>
        <w:t xml:space="preserve">Lista ordenada y en constante evolución de todo lo que se conoce que se necesita en el producto: funcionalidades, mejoras, correcciones y trabajo técnico. Es la única fuente de requerimientos para cualquier cambio a realizarse en el producto, y su gestión detallada se desarrolla en la sección 4.4 de este documento.</w:t>
      </w:r>
    </w:p>
    <w:p>
      <w:pPr>
        <w:pStyle w:val="Heading3"/>
        <w:spacing w:after="120" w:before="260"/>
      </w:pPr>
      <w:r>
        <w:rPr>
          <w:rFonts w:ascii="Calibri" w:cs="Calibri" w:eastAsia="Calibri" w:hAnsi="Calibri"/>
          <w:b/>
          <w:bCs/>
          <w:color w:val="2C4A3E"/>
          <w:sz w:val="23"/>
          <w:szCs w:val="23"/>
        </w:rPr>
        <w:t xml:space="preserve">3.5.2 Sprint Backlog</w:t>
      </w:r>
    </w:p>
    <w:p>
      <w:pPr>
        <w:spacing w:after="160" w:line="276"/>
        <w:jc w:val="left"/>
      </w:pPr>
      <w:r>
        <w:rPr>
          <w:rFonts w:ascii="Calibri" w:cs="Calibri" w:eastAsia="Calibri" w:hAnsi="Calibri"/>
          <w:color w:val="232323"/>
          <w:sz w:val="21"/>
          <w:szCs w:val="21"/>
        </w:rPr>
        <w:t xml:space="preserve">Conjunto de elementos del Product Backlog seleccionados para el sprint, junto con el plan del equipo de desarrollo para entregarlos y alcanzar el Sprint Goal. Es propiedad exclusiva del equipo de desarrollo y se actualiza a diario.</w:t>
      </w:r>
    </w:p>
    <w:p>
      <w:pPr>
        <w:pStyle w:val="Heading3"/>
        <w:spacing w:after="120" w:before="260"/>
      </w:pPr>
      <w:r>
        <w:rPr>
          <w:rFonts w:ascii="Calibri" w:cs="Calibri" w:eastAsia="Calibri" w:hAnsi="Calibri"/>
          <w:b/>
          <w:bCs/>
          <w:color w:val="2C4A3E"/>
          <w:sz w:val="23"/>
          <w:szCs w:val="23"/>
        </w:rPr>
        <w:t xml:space="preserve">3.5.3 Incremento</w:t>
      </w:r>
    </w:p>
    <w:p>
      <w:pPr>
        <w:spacing w:after="160" w:line="276"/>
        <w:jc w:val="left"/>
      </w:pPr>
      <w:r>
        <w:rPr>
          <w:rFonts w:ascii="Calibri" w:cs="Calibri" w:eastAsia="Calibri" w:hAnsi="Calibri"/>
          <w:color w:val="232323"/>
          <w:sz w:val="21"/>
          <w:szCs w:val="21"/>
        </w:rPr>
        <w:t xml:space="preserve">Suma de todos los elementos del Product Backlog completados durante el sprint, integrados al trabajo de sprints anteriores, y que cumplen la Definición de Terminado. Un incremento debe ser una pieza de software funcional y potencialmente desplegable a producción, independientemente de si el Product Owner decide efectivamente liberarlo.</w:t>
      </w:r>
    </w:p>
    <w:p>
      <w:pPr>
        <w:pStyle w:val="Heading2"/>
        <w:spacing w:after="160" w:before="340"/>
      </w:pPr>
      <w:r>
        <w:rPr>
          <w:rFonts w:ascii="Calibri" w:cs="Calibri" w:eastAsia="Calibri" w:hAnsi="Calibri"/>
          <w:b/>
          <w:bCs/>
          <w:color w:val="1F6F4A"/>
          <w:sz w:val="26"/>
          <w:szCs w:val="26"/>
        </w:rPr>
        <w:t xml:space="preserve">3.6 Definición de Listo (DoR) y Definición de Terminado (DoD)</w:t>
      </w:r>
    </w:p>
    <w:p>
      <w:pPr>
        <w:spacing w:after="160" w:line="276"/>
        <w:jc w:val="left"/>
      </w:pPr>
      <w:r>
        <w:rPr>
          <w:rFonts w:ascii="Calibri" w:cs="Calibri" w:eastAsia="Calibri" w:hAnsi="Calibri"/>
          <w:color w:val="232323"/>
          <w:sz w:val="21"/>
          <w:szCs w:val="21"/>
        </w:rPr>
        <w:t xml:space="preserve">Para reducir la ambigüedad sobre cuándo una historia de usuario puede entrar a un sprint y cuándo puede considerarse completada, el equipo adopta las siguientes definiciones desde el Sprint 0. Ambas listas deben revisarse y, de ser necesario, ajustarse en cada retrospectiva.</w:t>
      </w:r>
    </w:p>
    <w:p>
      <w:pPr>
        <w:pStyle w:val="Heading3"/>
        <w:spacing w:after="120" w:before="260"/>
      </w:pPr>
      <w:r>
        <w:rPr>
          <w:rFonts w:ascii="Calibri" w:cs="Calibri" w:eastAsia="Calibri" w:hAnsi="Calibri"/>
          <w:b/>
          <w:bCs/>
          <w:color w:val="2C4A3E"/>
          <w:sz w:val="23"/>
          <w:szCs w:val="23"/>
        </w:rPr>
        <w:t xml:space="preserve">3.6.1 Definición de Listo (Definition of Ready — DoR)</w:t>
      </w:r>
    </w:p>
    <w:p>
      <w:pPr>
        <w:spacing w:after="160" w:line="276"/>
        <w:jc w:val="left"/>
      </w:pPr>
      <w:r>
        <w:rPr>
          <w:rFonts w:ascii="Calibri" w:cs="Calibri" w:eastAsia="Calibri" w:hAnsi="Calibri"/>
          <w:color w:val="232323"/>
          <w:sz w:val="21"/>
          <w:szCs w:val="21"/>
        </w:rPr>
        <w:t xml:space="preserve">Una historia de usuario se considera lista para ingresar a un Sprint Planning cuando cumple todos los siguientes criterios:</w:t>
      </w:r>
    </w:p>
    <w:p>
      <w:pPr>
        <w:pStyle w:val="ListParagraph"/>
        <w:numPr>
          <w:ilvl w:val="0"/>
          <w:numId w:val="2"/>
        </w:numPr>
        <w:spacing w:after="90" w:line="264"/>
      </w:pPr>
      <w:r>
        <w:rPr>
          <w:rFonts w:ascii="Calibri" w:cs="Calibri" w:eastAsia="Calibri" w:hAnsi="Calibri"/>
          <w:color w:val="232323"/>
          <w:sz w:val="21"/>
          <w:szCs w:val="21"/>
        </w:rPr>
        <w:t xml:space="preserve">Está redactada en formato estándar de historia de usuario, con su(s) criterio(s) de aceptación explícitos.</w:t>
      </w:r>
    </w:p>
    <w:p>
      <w:pPr>
        <w:pStyle w:val="ListParagraph"/>
        <w:numPr>
          <w:ilvl w:val="0"/>
          <w:numId w:val="2"/>
        </w:numPr>
        <w:spacing w:after="90" w:line="264"/>
      </w:pPr>
      <w:r>
        <w:rPr>
          <w:rFonts w:ascii="Calibri" w:cs="Calibri" w:eastAsia="Calibri" w:hAnsi="Calibri"/>
          <w:color w:val="232323"/>
          <w:sz w:val="21"/>
          <w:szCs w:val="21"/>
        </w:rPr>
        <w:t xml:space="preserve">Ha sido estimada por el equipo de desarrollo en story points.</w:t>
      </w:r>
    </w:p>
    <w:p>
      <w:pPr>
        <w:pStyle w:val="ListParagraph"/>
        <w:numPr>
          <w:ilvl w:val="0"/>
          <w:numId w:val="2"/>
        </w:numPr>
        <w:spacing w:after="90" w:line="264"/>
      </w:pPr>
      <w:r>
        <w:rPr>
          <w:rFonts w:ascii="Calibri" w:cs="Calibri" w:eastAsia="Calibri" w:hAnsi="Calibri"/>
          <w:color w:val="232323"/>
          <w:sz w:val="21"/>
          <w:szCs w:val="21"/>
        </w:rPr>
        <w:t xml:space="preserve">No tiene dependencias externas bloqueantes no resueltas (por ejemplo, credenciales de una pasarela de pago pendientes).</w:t>
      </w:r>
    </w:p>
    <w:p>
      <w:pPr>
        <w:pStyle w:val="ListParagraph"/>
        <w:numPr>
          <w:ilvl w:val="0"/>
          <w:numId w:val="2"/>
        </w:numPr>
        <w:spacing w:after="90" w:line="264"/>
      </w:pPr>
      <w:r>
        <w:rPr>
          <w:rFonts w:ascii="Calibri" w:cs="Calibri" w:eastAsia="Calibri" w:hAnsi="Calibri"/>
          <w:color w:val="232323"/>
          <w:sz w:val="21"/>
          <w:szCs w:val="21"/>
        </w:rPr>
        <w:t xml:space="preserve">Cuenta con los insumos de diseño necesarios (mockup o wireframe) cuando la historia afecta la interfaz de usuario.</w:t>
      </w:r>
    </w:p>
    <w:p>
      <w:pPr>
        <w:pStyle w:val="ListParagraph"/>
        <w:numPr>
          <w:ilvl w:val="0"/>
          <w:numId w:val="2"/>
        </w:numPr>
        <w:spacing w:after="90" w:line="264"/>
      </w:pPr>
      <w:r>
        <w:rPr>
          <w:rFonts w:ascii="Calibri" w:cs="Calibri" w:eastAsia="Calibri" w:hAnsi="Calibri"/>
          <w:color w:val="232323"/>
          <w:sz w:val="21"/>
          <w:szCs w:val="21"/>
        </w:rPr>
        <w:t xml:space="preserve">Es lo suficientemente pequeña para completarse dentro de un único sprint.</w:t>
      </w:r>
    </w:p>
    <w:p>
      <w:pPr>
        <w:pStyle w:val="Heading3"/>
        <w:spacing w:after="120" w:before="260"/>
      </w:pPr>
      <w:r>
        <w:rPr>
          <w:rFonts w:ascii="Calibri" w:cs="Calibri" w:eastAsia="Calibri" w:hAnsi="Calibri"/>
          <w:b/>
          <w:bCs/>
          <w:color w:val="2C4A3E"/>
          <w:sz w:val="23"/>
          <w:szCs w:val="23"/>
        </w:rPr>
        <w:t xml:space="preserve">3.6.2 Definición de Terminado (Definition of Done — DoD)</w:t>
      </w:r>
    </w:p>
    <w:p>
      <w:pPr>
        <w:spacing w:after="160" w:line="276"/>
        <w:jc w:val="left"/>
      </w:pPr>
      <w:r>
        <w:rPr>
          <w:rFonts w:ascii="Calibri" w:cs="Calibri" w:eastAsia="Calibri" w:hAnsi="Calibri"/>
          <w:color w:val="232323"/>
          <w:sz w:val="21"/>
          <w:szCs w:val="21"/>
        </w:rPr>
        <w:t xml:space="preserve">Un elemento del Sprint Backlog se considera terminado únicamente cuando cumple todos los siguientes criterios (el detalle de cada uno se amplía en la sección 8.5 de este documento):</w:t>
      </w:r>
    </w:p>
    <w:p>
      <w:pPr>
        <w:pStyle w:val="ListParagraph"/>
        <w:numPr>
          <w:ilvl w:val="0"/>
          <w:numId w:val="2"/>
        </w:numPr>
        <w:spacing w:after="90" w:line="264"/>
      </w:pPr>
      <w:r>
        <w:rPr>
          <w:rFonts w:ascii="Calibri" w:cs="Calibri" w:eastAsia="Calibri" w:hAnsi="Calibri"/>
          <w:color w:val="232323"/>
          <w:sz w:val="21"/>
          <w:szCs w:val="21"/>
        </w:rPr>
        <w:t xml:space="preserve">El código ha sido desarrollado, integrado a la rama principal y ha superado la revisión de al menos un/a par (code review).</w:t>
      </w:r>
    </w:p>
    <w:p>
      <w:pPr>
        <w:pStyle w:val="ListParagraph"/>
        <w:numPr>
          <w:ilvl w:val="0"/>
          <w:numId w:val="2"/>
        </w:numPr>
        <w:spacing w:after="90" w:line="264"/>
      </w:pPr>
      <w:r>
        <w:rPr>
          <w:rFonts w:ascii="Calibri" w:cs="Calibri" w:eastAsia="Calibri" w:hAnsi="Calibri"/>
          <w:color w:val="232323"/>
          <w:sz w:val="21"/>
          <w:szCs w:val="21"/>
        </w:rPr>
        <w:t xml:space="preserve">Las pruebas unitarias y de integración correspondientes han sido escritas y superadas, sin reducir la cobertura global de pruebas.</w:t>
      </w:r>
    </w:p>
    <w:p>
      <w:pPr>
        <w:pStyle w:val="ListParagraph"/>
        <w:numPr>
          <w:ilvl w:val="0"/>
          <w:numId w:val="2"/>
        </w:numPr>
        <w:spacing w:after="90" w:line="264"/>
      </w:pPr>
      <w:r>
        <w:rPr>
          <w:rFonts w:ascii="Calibri" w:cs="Calibri" w:eastAsia="Calibri" w:hAnsi="Calibri"/>
          <w:color w:val="232323"/>
          <w:sz w:val="21"/>
          <w:szCs w:val="21"/>
        </w:rPr>
        <w:t xml:space="preserve">La funcionalidad ha sido desplegada y verificada en el entorno de pruebas (staging).</w:t>
      </w:r>
    </w:p>
    <w:p>
      <w:pPr>
        <w:pStyle w:val="ListParagraph"/>
        <w:numPr>
          <w:ilvl w:val="0"/>
          <w:numId w:val="2"/>
        </w:numPr>
        <w:spacing w:after="90" w:line="264"/>
      </w:pPr>
      <w:r>
        <w:rPr>
          <w:rFonts w:ascii="Calibri" w:cs="Calibri" w:eastAsia="Calibri" w:hAnsi="Calibri"/>
          <w:color w:val="232323"/>
          <w:sz w:val="21"/>
          <w:szCs w:val="21"/>
        </w:rPr>
        <w:t xml:space="preserve">Los criterios de aceptación de la historia de usuario han sido validados por el Product Owner.</w:t>
      </w:r>
    </w:p>
    <w:p>
      <w:pPr>
        <w:pStyle w:val="ListParagraph"/>
        <w:numPr>
          <w:ilvl w:val="0"/>
          <w:numId w:val="2"/>
        </w:numPr>
        <w:spacing w:after="90" w:line="264"/>
      </w:pPr>
      <w:r>
        <w:rPr>
          <w:rFonts w:ascii="Calibri" w:cs="Calibri" w:eastAsia="Calibri" w:hAnsi="Calibri"/>
          <w:color w:val="232323"/>
          <w:sz w:val="21"/>
          <w:szCs w:val="21"/>
        </w:rPr>
        <w:t xml:space="preserve">No existen defectos de severidad crítica o alta abiertos asociados a la funcionalidad.</w:t>
      </w:r>
    </w:p>
    <w:p>
      <w:pPr>
        <w:pStyle w:val="ListParagraph"/>
        <w:numPr>
          <w:ilvl w:val="0"/>
          <w:numId w:val="2"/>
        </w:numPr>
        <w:spacing w:after="90" w:line="264"/>
      </w:pPr>
      <w:r>
        <w:rPr>
          <w:rFonts w:ascii="Calibri" w:cs="Calibri" w:eastAsia="Calibri" w:hAnsi="Calibri"/>
          <w:color w:val="232323"/>
          <w:sz w:val="21"/>
          <w:szCs w:val="21"/>
        </w:rPr>
        <w:t xml:space="preserve">La documentación técnica mínima (comentarios de API, actualización del README cuando corresponda) ha sido actualizada.</w:t>
      </w:r>
    </w:p>
    <w:p>
      <w:pPr>
        <w:pStyle w:val="Heading2"/>
        <w:spacing w:after="160" w:before="340"/>
      </w:pPr>
      <w:r>
        <w:rPr>
          <w:rFonts w:ascii="Calibri" w:cs="Calibri" w:eastAsia="Calibri" w:hAnsi="Calibri"/>
          <w:b/>
          <w:bCs/>
          <w:color w:val="1F6F4A"/>
          <w:sz w:val="26"/>
          <w:szCs w:val="26"/>
        </w:rPr>
        <w:t xml:space="preserve">3.7 Cadencia, Tablero de Trabajo y Herramientas</w:t>
      </w:r>
    </w:p>
    <w:p>
      <w:pPr>
        <w:spacing w:after="160" w:line="276"/>
        <w:jc w:val="left"/>
      </w:pPr>
      <w:r>
        <w:rPr>
          <w:rFonts w:ascii="Calibri" w:cs="Calibri" w:eastAsia="Calibri" w:hAnsi="Calibri"/>
          <w:color w:val="232323"/>
          <w:sz w:val="21"/>
          <w:szCs w:val="21"/>
        </w:rPr>
        <w:t xml:space="preserve">Se propone una cadencia de </w:t>
      </w:r>
      <w:r>
        <w:rPr>
          <w:rFonts w:ascii="Calibri" w:cs="Calibri" w:eastAsia="Calibri" w:hAnsi="Calibri"/>
          <w:b/>
          <w:bCs/>
          <w:color w:val="232323"/>
          <w:sz w:val="21"/>
          <w:szCs w:val="21"/>
        </w:rPr>
        <w:t xml:space="preserve">sprints de dos semanas</w:t>
      </w:r>
      <w:r>
        <w:rPr>
          <w:rFonts w:ascii="Calibri" w:cs="Calibri" w:eastAsia="Calibri" w:hAnsi="Calibri"/>
          <w:color w:val="232323"/>
          <w:sz w:val="21"/>
          <w:szCs w:val="21"/>
        </w:rPr>
        <w:t xml:space="preserve">, complementada con un tablero visual de tipo Kanban (columnas: Por hacer / En progreso / En revisión / En pruebas / Terminado) para dar visibilidad diaria al estado del Sprint Backlog. Se recomienda el uso de una herramienta de gestión ágil integrada con el repositorio de código, de forma que los commits y pull requests puedan vincularse directamente a las historias de usuario correspondientes.</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2721"/>
        <w:gridCol w:w="6351"/>
      </w:tblGrid>
      <w:tr>
        <w:trPr>
          <w:cantSplit/>
          <w:tblHeader/>
        </w:trPr>
        <w:tc>
          <w:tcPr>
            <w:tcW w:type="dxa" w:w="2721"/>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Herramienta</w:t>
            </w:r>
          </w:p>
        </w:tc>
        <w:tc>
          <w:tcPr>
            <w:tcW w:type="dxa" w:w="6351"/>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Función dentro del proyecto</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Jira o Azure DevOps</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Gestión del Product Backlog, Sprint Backlog, tablero Kanban y métricas ágiles (burndown, velocity)</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GitHub (repositorio + GitHub Actions)</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Control de versiones, revisión de código (pull requests) y pipeline de integración/despliegue continuo (ya definido en la sección 7.1.6 del Plan de Negocios)</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Figma</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Diseño de wireframes, prototipos de alta fidelidad y sistema de diseño (design system)</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Slack o Microsoft Teams</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Comunicación asincrónica del equipo y canal de alertas automatizadas del pipeline y del monitoreo en producción</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Confluence o Notion</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Documentación técnica viva: decisiones de arquitectura, runbooks y actas de retrospectiva</w:t>
            </w:r>
          </w:p>
        </w:tc>
      </w:tr>
    </w:tbl>
    <w:p>
      <w:pPr>
        <w:spacing w:after="160"/>
      </w:pPr>
    </w:p>
    <w:p>
      <w:pPr>
        <w:pStyle w:val="Heading1"/>
        <w:pageBreakBefore/>
        <w:pBdr>
          <w:bottom w:val="single" w:color="1F6F4A" w:sz="14" w:space="8"/>
        </w:pBdr>
        <w:spacing w:after="260" w:before="0"/>
      </w:pPr>
      <w:r>
        <w:rPr>
          <w:rFonts w:ascii="Calibri" w:cs="Calibri" w:eastAsia="Calibri" w:hAnsi="Calibri"/>
          <w:b/>
          <w:bCs/>
          <w:color w:val="173F32"/>
          <w:sz w:val="32"/>
          <w:szCs w:val="32"/>
        </w:rPr>
        <w:t xml:space="preserve">4. Fase 1 — Ingeniería de Requerimientos</w:t>
      </w:r>
    </w:p>
    <w:p>
      <w:pPr>
        <w:spacing w:after="160" w:line="276"/>
        <w:jc w:val="left"/>
      </w:pPr>
      <w:r>
        <w:rPr>
          <w:rFonts w:ascii="Calibri" w:cs="Calibri" w:eastAsia="Calibri" w:hAnsi="Calibri"/>
          <w:color w:val="232323"/>
          <w:sz w:val="21"/>
          <w:szCs w:val="21"/>
        </w:rPr>
        <w:t xml:space="preserve">La Fase 1 es el punto de partida del proyecto de construcción: su objetivo es transformar la propuesta de valor descrita en el Plan de Negocios (secciones 3.4 y 5) en un conjunto de requerimientos verificables, priorizados y listos para ser desarrollados. Se estima una duración de dos a tres semanas, ejecutadas en paralelo con el arranque de la Fase 2 (Diseño).</w:t>
      </w:r>
    </w:p>
    <w:p>
      <w:pPr>
        <w:pStyle w:val="Heading2"/>
        <w:spacing w:after="160" w:before="340"/>
      </w:pPr>
      <w:r>
        <w:rPr>
          <w:rFonts w:ascii="Calibri" w:cs="Calibri" w:eastAsia="Calibri" w:hAnsi="Calibri"/>
          <w:b/>
          <w:bCs/>
          <w:color w:val="1F6F4A"/>
          <w:sz w:val="26"/>
          <w:szCs w:val="26"/>
        </w:rPr>
        <w:t xml:space="preserve">4.1 Objetivos de la Fase</w:t>
      </w:r>
    </w:p>
    <w:p>
      <w:pPr>
        <w:pStyle w:val="ListParagraph"/>
        <w:numPr>
          <w:ilvl w:val="0"/>
          <w:numId w:val="2"/>
        </w:numPr>
        <w:spacing w:after="90" w:line="264"/>
      </w:pPr>
      <w:r>
        <w:rPr>
          <w:rFonts w:ascii="Calibri" w:cs="Calibri" w:eastAsia="Calibri" w:hAnsi="Calibri"/>
          <w:color w:val="232323"/>
          <w:sz w:val="21"/>
          <w:szCs w:val="21"/>
        </w:rPr>
        <w:t xml:space="preserve">Identificar y documentar las necesidades reales de los tres segmentos de usuario: el deportista, el administrador del centro deportivo y el organizador de campeonatos.</w:t>
      </w:r>
    </w:p>
    <w:p>
      <w:pPr>
        <w:pStyle w:val="ListParagraph"/>
        <w:numPr>
          <w:ilvl w:val="0"/>
          <w:numId w:val="2"/>
        </w:numPr>
        <w:spacing w:after="90" w:line="264"/>
      </w:pPr>
      <w:r>
        <w:rPr>
          <w:rFonts w:ascii="Calibri" w:cs="Calibri" w:eastAsia="Calibri" w:hAnsi="Calibri"/>
          <w:color w:val="232323"/>
          <w:sz w:val="21"/>
          <w:szCs w:val="21"/>
        </w:rPr>
        <w:t xml:space="preserve">Clasificar los requerimientos en funcionales y no funcionales, y agruparlos en épicas gestionables.</w:t>
      </w:r>
    </w:p>
    <w:p>
      <w:pPr>
        <w:pStyle w:val="ListParagraph"/>
        <w:numPr>
          <w:ilvl w:val="0"/>
          <w:numId w:val="2"/>
        </w:numPr>
        <w:spacing w:after="90" w:line="264"/>
      </w:pPr>
      <w:r>
        <w:rPr>
          <w:rFonts w:ascii="Calibri" w:cs="Calibri" w:eastAsia="Calibri" w:hAnsi="Calibri"/>
          <w:color w:val="232323"/>
          <w:sz w:val="21"/>
          <w:szCs w:val="21"/>
        </w:rPr>
        <w:t xml:space="preserve">Construir un Product Backlog inicial priorizado, listo para el Sprint Planning del primer sprint de construcción.</w:t>
      </w:r>
    </w:p>
    <w:p>
      <w:pPr>
        <w:pStyle w:val="ListParagraph"/>
        <w:numPr>
          <w:ilvl w:val="0"/>
          <w:numId w:val="2"/>
        </w:numPr>
        <w:spacing w:after="90" w:line="264"/>
      </w:pPr>
      <w:r>
        <w:rPr>
          <w:rFonts w:ascii="Calibri" w:cs="Calibri" w:eastAsia="Calibri" w:hAnsi="Calibri"/>
          <w:color w:val="232323"/>
          <w:sz w:val="21"/>
          <w:szCs w:val="21"/>
        </w:rPr>
        <w:t xml:space="preserve">Establecer trazabilidad entre cada requerimiento y su origen (entrevista, encuesta, benchmark) para facilitar la validación posterior.</w:t>
      </w:r>
    </w:p>
    <w:p>
      <w:pPr>
        <w:pStyle w:val="Heading2"/>
        <w:spacing w:after="160" w:before="340"/>
      </w:pPr>
      <w:r>
        <w:rPr>
          <w:rFonts w:ascii="Calibri" w:cs="Calibri" w:eastAsia="Calibri" w:hAnsi="Calibri"/>
          <w:b/>
          <w:bCs/>
          <w:color w:val="1F6F4A"/>
          <w:sz w:val="26"/>
          <w:szCs w:val="26"/>
        </w:rPr>
        <w:t xml:space="preserve">4.2 Técnicas de Levantamiento de Requerimientos</w:t>
      </w:r>
    </w:p>
    <w:p>
      <w:pPr>
        <w:spacing w:after="160" w:line="276"/>
        <w:jc w:val="left"/>
      </w:pPr>
      <w:r>
        <w:rPr>
          <w:rFonts w:ascii="Calibri" w:cs="Calibri" w:eastAsia="Calibri" w:hAnsi="Calibri"/>
          <w:color w:val="232323"/>
          <w:sz w:val="21"/>
          <w:szCs w:val="21"/>
        </w:rPr>
        <w:t xml:space="preserve">Dado que KanchaYA opera en un mercado con escasa digitalización previa (sección 2.1 del Plan de Negocios), se privilegian técnicas de levantamiento cualitativo directo por encima de la sola revisión documental.</w:t>
      </w:r>
    </w:p>
    <w:p>
      <w:pPr>
        <w:pStyle w:val="ListParagraph"/>
        <w:numPr>
          <w:ilvl w:val="0"/>
          <w:numId w:val="2"/>
        </w:numPr>
        <w:spacing w:after="90" w:line="264"/>
      </w:pPr>
      <w:r>
        <w:rPr>
          <w:rFonts w:ascii="Calibri" w:cs="Calibri" w:eastAsia="Calibri" w:hAnsi="Calibri"/>
          <w:b/>
          <w:bCs/>
          <w:color w:val="232323"/>
          <w:sz w:val="21"/>
          <w:szCs w:val="21"/>
        </w:rPr>
        <w:t xml:space="preserve">Entrevistas semiestructuradas: </w:t>
      </w:r>
      <w:r>
        <w:rPr>
          <w:rFonts w:ascii="Calibri" w:cs="Calibri" w:eastAsia="Calibri" w:hAnsi="Calibri"/>
          <w:color w:val="232323"/>
          <w:sz w:val="21"/>
          <w:szCs w:val="21"/>
        </w:rPr>
        <w:t xml:space="preserve">con al menos 10 administradores de centros deportivos del universo de 100 a 120 establecimientos identificado en la sección 4.2 del Plan de Negocios, indagando su proceso actual de gestión de reservas y sus principales fricciones.</w:t>
      </w:r>
    </w:p>
    <w:p>
      <w:pPr>
        <w:pStyle w:val="ListParagraph"/>
        <w:numPr>
          <w:ilvl w:val="0"/>
          <w:numId w:val="2"/>
        </w:numPr>
        <w:spacing w:after="90" w:line="264"/>
      </w:pPr>
      <w:r>
        <w:rPr>
          <w:rFonts w:ascii="Calibri" w:cs="Calibri" w:eastAsia="Calibri" w:hAnsi="Calibri"/>
          <w:b/>
          <w:bCs/>
          <w:color w:val="232323"/>
          <w:sz w:val="21"/>
          <w:szCs w:val="21"/>
        </w:rPr>
        <w:t xml:space="preserve">Talleres de Design Thinking: </w:t>
      </w:r>
      <w:r>
        <w:rPr>
          <w:rFonts w:ascii="Calibri" w:cs="Calibri" w:eastAsia="Calibri" w:hAnsi="Calibri"/>
          <w:color w:val="232323"/>
          <w:sz w:val="21"/>
          <w:szCs w:val="21"/>
        </w:rPr>
        <w:t xml:space="preserve">sesiones de co-creación con grupos de deportistas recurrentes (ligas barriales, equipos de trabajo) para mapear el recorrido actual de reserva y detectar puntos de dolor no verbalizados espontáneamente.</w:t>
      </w:r>
    </w:p>
    <w:p>
      <w:pPr>
        <w:pStyle w:val="ListParagraph"/>
        <w:numPr>
          <w:ilvl w:val="0"/>
          <w:numId w:val="2"/>
        </w:numPr>
        <w:spacing w:after="90" w:line="264"/>
      </w:pPr>
      <w:r>
        <w:rPr>
          <w:rFonts w:ascii="Calibri" w:cs="Calibri" w:eastAsia="Calibri" w:hAnsi="Calibri"/>
          <w:b/>
          <w:bCs/>
          <w:color w:val="232323"/>
          <w:sz w:val="21"/>
          <w:szCs w:val="21"/>
        </w:rPr>
        <w:t xml:space="preserve">Encuestas digitales: </w:t>
      </w:r>
      <w:r>
        <w:rPr>
          <w:rFonts w:ascii="Calibri" w:cs="Calibri" w:eastAsia="Calibri" w:hAnsi="Calibri"/>
          <w:color w:val="232323"/>
          <w:sz w:val="21"/>
          <w:szCs w:val="21"/>
        </w:rPr>
        <w:t xml:space="preserve">cuestionario corto distribuido en redes sociales y comunidades deportivas locales, orientado a cuantificar la frecuencia de reserva, el gasto promedio y la disposición a pagar por funcionalidades premium.</w:t>
      </w:r>
    </w:p>
    <w:p>
      <w:pPr>
        <w:pStyle w:val="ListParagraph"/>
        <w:numPr>
          <w:ilvl w:val="0"/>
          <w:numId w:val="2"/>
        </w:numPr>
        <w:spacing w:after="90" w:line="264"/>
      </w:pPr>
      <w:r>
        <w:rPr>
          <w:rFonts w:ascii="Calibri" w:cs="Calibri" w:eastAsia="Calibri" w:hAnsi="Calibri"/>
          <w:b/>
          <w:bCs/>
          <w:color w:val="232323"/>
          <w:sz w:val="21"/>
          <w:szCs w:val="21"/>
        </w:rPr>
        <w:t xml:space="preserve">Benchmarking funcional de la competencia: </w:t>
      </w:r>
      <w:r>
        <w:rPr>
          <w:rFonts w:ascii="Calibri" w:cs="Calibri" w:eastAsia="Calibri" w:hAnsi="Calibri"/>
          <w:color w:val="232323"/>
          <w:sz w:val="21"/>
          <w:szCs w:val="21"/>
        </w:rPr>
        <w:t xml:space="preserve">análisis comparativo de las funcionalidades específicas de Playtomic y FairPlay (sección 4.4 del Plan de Negocios), esta vez a nivel de flujo de pantalla y no solo de modelo de negocio.</w:t>
      </w:r>
    </w:p>
    <w:p>
      <w:pPr>
        <w:pStyle w:val="ListParagraph"/>
        <w:numPr>
          <w:ilvl w:val="0"/>
          <w:numId w:val="2"/>
        </w:numPr>
        <w:spacing w:after="90" w:line="264"/>
      </w:pPr>
      <w:r>
        <w:rPr>
          <w:rFonts w:ascii="Calibri" w:cs="Calibri" w:eastAsia="Calibri" w:hAnsi="Calibri"/>
          <w:b/>
          <w:bCs/>
          <w:color w:val="232323"/>
          <w:sz w:val="21"/>
          <w:szCs w:val="21"/>
        </w:rPr>
        <w:t xml:space="preserve">Observación directa (shadowing): </w:t>
      </w:r>
      <w:r>
        <w:rPr>
          <w:rFonts w:ascii="Calibri" w:cs="Calibri" w:eastAsia="Calibri" w:hAnsi="Calibri"/>
          <w:color w:val="232323"/>
          <w:sz w:val="21"/>
          <w:szCs w:val="21"/>
        </w:rPr>
        <w:t xml:space="preserve">acompañamiento presencial del proceso actual de coordinación por WhatsApp y cuadernos físicos en 3 a 5 centros deportivos, para identificar pasos implícitos que no surgen en una entrevista.</w:t>
      </w:r>
    </w:p>
    <w:p>
      <w:pPr>
        <w:pStyle w:val="Heading2"/>
        <w:spacing w:after="160" w:before="340"/>
      </w:pPr>
      <w:r>
        <w:rPr>
          <w:rFonts w:ascii="Calibri" w:cs="Calibri" w:eastAsia="Calibri" w:hAnsi="Calibri"/>
          <w:b/>
          <w:bCs/>
          <w:color w:val="1F6F4A"/>
          <w:sz w:val="26"/>
          <w:szCs w:val="26"/>
        </w:rPr>
        <w:t xml:space="preserve">4.3 Clasificación de Requerimientos</w:t>
      </w:r>
    </w:p>
    <w:p>
      <w:pPr>
        <w:pStyle w:val="Heading3"/>
        <w:spacing w:after="120" w:before="260"/>
      </w:pPr>
      <w:r>
        <w:rPr>
          <w:rFonts w:ascii="Calibri" w:cs="Calibri" w:eastAsia="Calibri" w:hAnsi="Calibri"/>
          <w:b/>
          <w:bCs/>
          <w:color w:val="2C4A3E"/>
          <w:sz w:val="23"/>
          <w:szCs w:val="23"/>
        </w:rPr>
        <w:t xml:space="preserve">4.3.1 Requerimientos Funcionales por Módulo</w:t>
      </w:r>
    </w:p>
    <w:p>
      <w:pPr>
        <w:spacing w:after="160" w:line="276"/>
        <w:jc w:val="left"/>
      </w:pPr>
      <w:r>
        <w:rPr>
          <w:rFonts w:ascii="Calibri" w:cs="Calibri" w:eastAsia="Calibri" w:hAnsi="Calibri"/>
          <w:color w:val="232323"/>
          <w:sz w:val="21"/>
          <w:szCs w:val="21"/>
        </w:rPr>
        <w:t xml:space="preserve">Los requerimientos funcionales se agrupan según el módulo de negocio al que pertenecen, en correspondencia directa con los microservicios definidos en la Tabla 5 del Plan de Negocios (sección 7.1.3).</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2721"/>
        <w:gridCol w:w="6351"/>
      </w:tblGrid>
      <w:tr>
        <w:trPr>
          <w:cantSplit/>
          <w:tblHeader/>
        </w:trPr>
        <w:tc>
          <w:tcPr>
            <w:tcW w:type="dxa" w:w="2721"/>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Módulo</w:t>
            </w:r>
          </w:p>
        </w:tc>
        <w:tc>
          <w:tcPr>
            <w:tcW w:type="dxa" w:w="6351"/>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Requerimiento funcional (resumen)</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Identidad y autenticación</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Registro diferenciado por rol (deportista, administrador, organizador, staff) con verificación de correo o teléfono</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Identidad y autenticación</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Inicio de sesión mediante credenciales propias o proveedores externos (Google, Facebook)</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Reservas y disponibilidad</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Publicación de canchas con fotografías, horarios, precios por franja y reglas de cancelación</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Reservas y disponibilidad</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Calendario de disponibilidad en tiempo real con bloqueo temporal durante el proceso de pago</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Reservas y disponibilidad</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Búsqueda de canchas con filtros combinados: deporte, distrito, fecha, horario y precio</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Pagos y liquidaciones</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Procesamiento de pagos vía Culqi, con soporte nativo para Yape, Plin y tarjeta</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Pagos y liquidaciones</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Liquidación periódica automatizada a centros deportivos, descontando la comisión vigente</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Campeonatos y torneos</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Creación de campeonatos con definición de formato, número de equipos y calendario</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Campeonatos y torneos</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Generación automática de cuadros de competencia y reserva de canchas asociadas</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Campeonatos y torneos</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Registro de resultados en tiempo real y actualización automática de tablas de posiciones</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Reputación y reseñas</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Calificación bidireccional entre deportistas y centros deportivos tras cada reserva</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Notificaciones</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Envío de recordatorios, confirmaciones y alertas vía push, correo y WhatsApp Business API</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Analítica y reportes</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Panel de reportes de ocupación e ingresos para administradores de centros deportivos</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Panel administrativo interno</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Herramientas de soporte, moderación de contenido y análisis para el equipo de KanchaYA</w:t>
            </w:r>
          </w:p>
        </w:tc>
      </w:tr>
    </w:tbl>
    <w:p>
      <w:pPr>
        <w:spacing w:after="160"/>
      </w:pPr>
    </w:p>
    <w:p>
      <w:pPr>
        <w:pStyle w:val="Heading3"/>
        <w:spacing w:after="120" w:before="260"/>
      </w:pPr>
      <w:r>
        <w:rPr>
          <w:rFonts w:ascii="Calibri" w:cs="Calibri" w:eastAsia="Calibri" w:hAnsi="Calibri"/>
          <w:b/>
          <w:bCs/>
          <w:color w:val="2C4A3E"/>
          <w:sz w:val="23"/>
          <w:szCs w:val="23"/>
        </w:rPr>
        <w:t xml:space="preserve">4.3.2 Requerimientos No Funcionales</w:t>
      </w:r>
    </w:p>
    <w:p>
      <w:pPr>
        <w:spacing w:after="160" w:line="276"/>
        <w:jc w:val="left"/>
      </w:pPr>
      <w:r>
        <w:rPr>
          <w:rFonts w:ascii="Calibri" w:cs="Calibri" w:eastAsia="Calibri" w:hAnsi="Calibri"/>
          <w:color w:val="232323"/>
          <w:sz w:val="21"/>
          <w:szCs w:val="21"/>
        </w:rPr>
        <w:t xml:space="preserve">Los requerimientos no funcionales establecen los atributos de calidad del sistema y se convierten en criterios de aceptación transversales, verificados en la Fase 5 (Aseguramiento de Calidad).</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2721"/>
        <w:gridCol w:w="6351"/>
      </w:tblGrid>
      <w:tr>
        <w:trPr>
          <w:cantSplit/>
          <w:tblHeader/>
        </w:trPr>
        <w:tc>
          <w:tcPr>
            <w:tcW w:type="dxa" w:w="2721"/>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Categoría</w:t>
            </w:r>
          </w:p>
        </w:tc>
        <w:tc>
          <w:tcPr>
            <w:tcW w:type="dxa" w:w="6351"/>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Requerimiento no funcional</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Rendimiento</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El motor de búsqueda debe responder en menos de 1.5 segundos para el percentil 95 de las consultas</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Disponibilidad</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El sistema debe garantizar una disponibilidad objetivo (SLO) de 99.5 % mensual una vez en producción</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Escalabilidad</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Los servicios de reservas y búsqueda deben poder escalar de forma horizontal e independiente durante picos de fin de semana</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Seguridad</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Cifrado en tránsito (TLS 1.2 o superior) y en reposo para todo dato personal o financiero, conforme la sección 7.4 del Plan de Negocios</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Cumplimiento normativo</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Tratamiento de datos personales conforme a la Ley N.º 29733 (detallado en la sección 13.3 del Plan de Negocios)</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Usabilidad</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Una reserva debe poder completarse en menos de dos minutos desde la apertura de la aplicación (principio de diseño, sección 5.5 del Plan de Negocios)</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Compatibilidad</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La aplicación móvil debe soportar las dos últimas versiones mayores de iOS y Android; la web debe ser responsiva desde 360 px de ancho</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Mantenibilidad</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Cobertura de pruebas automatizadas no menor al 80 % en los microservicios de Reservas y Pagos</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Auditabilidad</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Todo acceso a información sensible debe quedar registrado en un log de auditoría inmutable</w:t>
            </w:r>
          </w:p>
        </w:tc>
      </w:tr>
    </w:tbl>
    <w:p>
      <w:pPr>
        <w:spacing w:after="160"/>
      </w:pPr>
    </w:p>
    <w:p>
      <w:pPr>
        <w:pStyle w:val="Heading2"/>
        <w:spacing w:after="160" w:before="340"/>
      </w:pPr>
      <w:r>
        <w:rPr>
          <w:rFonts w:ascii="Calibri" w:cs="Calibri" w:eastAsia="Calibri" w:hAnsi="Calibri"/>
          <w:b/>
          <w:bCs/>
          <w:color w:val="1F6F4A"/>
          <w:sz w:val="26"/>
          <w:szCs w:val="26"/>
        </w:rPr>
        <w:t xml:space="preserve">4.4 Épicas e Historias de Usuario</w:t>
      </w:r>
    </w:p>
    <w:p>
      <w:pPr>
        <w:spacing w:after="160" w:line="276"/>
        <w:jc w:val="left"/>
      </w:pPr>
      <w:r>
        <w:rPr>
          <w:rFonts w:ascii="Calibri" w:cs="Calibri" w:eastAsia="Calibri" w:hAnsi="Calibri"/>
          <w:color w:val="232323"/>
          <w:sz w:val="21"/>
          <w:szCs w:val="21"/>
        </w:rPr>
        <w:t xml:space="preserve">Una </w:t>
      </w:r>
      <w:r>
        <w:rPr>
          <w:rFonts w:ascii="Calibri" w:cs="Calibri" w:eastAsia="Calibri" w:hAnsi="Calibri"/>
          <w:b/>
          <w:bCs/>
          <w:color w:val="232323"/>
          <w:sz w:val="21"/>
          <w:szCs w:val="21"/>
        </w:rPr>
        <w:t xml:space="preserve">épica</w:t>
      </w:r>
      <w:r>
        <w:rPr>
          <w:rFonts w:ascii="Calibri" w:cs="Calibri" w:eastAsia="Calibri" w:hAnsi="Calibri"/>
          <w:color w:val="232323"/>
          <w:sz w:val="21"/>
          <w:szCs w:val="21"/>
        </w:rPr>
        <w:t xml:space="preserve"> agrupa un conjunto amplio de funcionalidad relacionada, demasiado grande para completarse en un solo sprint, que se descompone en </w:t>
      </w:r>
      <w:r>
        <w:rPr>
          <w:rFonts w:ascii="Calibri" w:cs="Calibri" w:eastAsia="Calibri" w:hAnsi="Calibri"/>
          <w:b/>
          <w:bCs/>
          <w:color w:val="232323"/>
          <w:sz w:val="21"/>
          <w:szCs w:val="21"/>
        </w:rPr>
        <w:t xml:space="preserve">historias de usuario</w:t>
      </w:r>
      <w:r>
        <w:rPr>
          <w:rFonts w:ascii="Calibri" w:cs="Calibri" w:eastAsia="Calibri" w:hAnsi="Calibri"/>
          <w:color w:val="232323"/>
          <w:sz w:val="21"/>
          <w:szCs w:val="21"/>
        </w:rPr>
        <w:t xml:space="preserve"> más pequeñas. Cada historia sigue el formato estándar: «Como [rol], quiero [acción], para [beneficio]», y se acompaña de uno o más criterios de aceptación redactados en notación Gherkin (Dado / Cuando / Entonces), lo que permite convertirlos directamente en pruebas de aceptación automatizadas durante la Fase 5.</w:t>
      </w:r>
    </w:p>
    <w:p>
      <w:pPr>
        <w:pStyle w:val="Heading3"/>
        <w:spacing w:after="120" w:before="260"/>
      </w:pPr>
      <w:r>
        <w:rPr>
          <w:rFonts w:ascii="Calibri" w:cs="Calibri" w:eastAsia="Calibri" w:hAnsi="Calibri"/>
          <w:b/>
          <w:bCs/>
          <w:color w:val="2C4A3E"/>
          <w:sz w:val="23"/>
          <w:szCs w:val="23"/>
        </w:rPr>
        <w:t xml:space="preserve">4.4.1 Mapa de Épicas Iniciales</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907"/>
        <w:gridCol w:w="2721"/>
        <w:gridCol w:w="5444"/>
      </w:tblGrid>
      <w:tr>
        <w:trPr>
          <w:cantSplit/>
          <w:tblHeader/>
        </w:trPr>
        <w:tc>
          <w:tcPr>
            <w:tcW w:type="dxa" w:w="907"/>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w:t>
            </w:r>
          </w:p>
        </w:tc>
        <w:tc>
          <w:tcPr>
            <w:tcW w:type="dxa" w:w="2721"/>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Épica</w:t>
            </w:r>
          </w:p>
        </w:tc>
        <w:tc>
          <w:tcPr>
            <w:tcW w:type="dxa" w:w="5444"/>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Descripción</w:t>
            </w:r>
          </w:p>
        </w:tc>
      </w:tr>
      <w:tr>
        <w:trPr>
          <w:cantSplit/>
        </w:trPr>
        <w:tc>
          <w:tcPr>
            <w:tcW w:type="dxa" w:w="907"/>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E1</w:t>
            </w:r>
          </w:p>
        </w:tc>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Identidad y Autenticación</w:t>
            </w:r>
          </w:p>
        </w:tc>
        <w:tc>
          <w:tcPr>
            <w:tcW w:type="dxa" w:w="544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Registro, inicio de sesión y gestión de roles para los cuatro tipos de usuario de la plataforma</w:t>
            </w:r>
          </w:p>
        </w:tc>
      </w:tr>
      <w:tr>
        <w:trPr>
          <w:cantSplit/>
        </w:trPr>
        <w:tc>
          <w:tcPr>
            <w:tcW w:type="dxa" w:w="907"/>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E2</w:t>
            </w:r>
          </w:p>
        </w:tc>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Publicación y Gestión de Canchas</w:t>
            </w:r>
          </w:p>
        </w:tc>
        <w:tc>
          <w:tcPr>
            <w:tcW w:type="dxa" w:w="544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Alta, edición y configuración de canchas por parte de los centros deportivos</w:t>
            </w:r>
          </w:p>
        </w:tc>
      </w:tr>
      <w:tr>
        <w:trPr>
          <w:cantSplit/>
        </w:trPr>
        <w:tc>
          <w:tcPr>
            <w:tcW w:type="dxa" w:w="907"/>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E3</w:t>
            </w:r>
          </w:p>
        </w:tc>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Búsqueda y Reserva</w:t>
            </w:r>
          </w:p>
        </w:tc>
        <w:tc>
          <w:tcPr>
            <w:tcW w:type="dxa" w:w="544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Descubrimiento de canchas disponibles y flujo de reserva para el deportista</w:t>
            </w:r>
          </w:p>
        </w:tc>
      </w:tr>
      <w:tr>
        <w:trPr>
          <w:cantSplit/>
        </w:trPr>
        <w:tc>
          <w:tcPr>
            <w:tcW w:type="dxa" w:w="907"/>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E4</w:t>
            </w:r>
          </w:p>
        </w:tc>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Pagos y Liquidaciones</w:t>
            </w:r>
          </w:p>
        </w:tc>
        <w:tc>
          <w:tcPr>
            <w:tcW w:type="dxa" w:w="544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Cobro en línea, bloqueo temporal de horarios y liquidación periódica a centros deportivos</w:t>
            </w:r>
          </w:p>
        </w:tc>
      </w:tr>
      <w:tr>
        <w:trPr>
          <w:cantSplit/>
        </w:trPr>
        <w:tc>
          <w:tcPr>
            <w:tcW w:type="dxa" w:w="907"/>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E5</w:t>
            </w:r>
          </w:p>
        </w:tc>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Campeonatos y Torneos</w:t>
            </w:r>
          </w:p>
        </w:tc>
        <w:tc>
          <w:tcPr>
            <w:tcW w:type="dxa" w:w="544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Creación de campeonatos, inscripción de equipos, cuadros de competencia y resultados</w:t>
            </w:r>
          </w:p>
        </w:tc>
      </w:tr>
      <w:tr>
        <w:trPr>
          <w:cantSplit/>
        </w:trPr>
        <w:tc>
          <w:tcPr>
            <w:tcW w:type="dxa" w:w="907"/>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E6</w:t>
            </w:r>
          </w:p>
        </w:tc>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Reputación y Reseñas</w:t>
            </w:r>
          </w:p>
        </w:tc>
        <w:tc>
          <w:tcPr>
            <w:tcW w:type="dxa" w:w="544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Calificación bidireccional y moderación de contenido generado por usuarios</w:t>
            </w:r>
          </w:p>
        </w:tc>
      </w:tr>
      <w:tr>
        <w:trPr>
          <w:cantSplit/>
        </w:trPr>
        <w:tc>
          <w:tcPr>
            <w:tcW w:type="dxa" w:w="907"/>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E7</w:t>
            </w:r>
          </w:p>
        </w:tc>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Notificaciones</w:t>
            </w:r>
          </w:p>
        </w:tc>
        <w:tc>
          <w:tcPr>
            <w:tcW w:type="dxa" w:w="544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Recordatorios, confirmaciones y alertas multicanal</w:t>
            </w:r>
          </w:p>
        </w:tc>
      </w:tr>
      <w:tr>
        <w:trPr>
          <w:cantSplit/>
        </w:trPr>
        <w:tc>
          <w:tcPr>
            <w:tcW w:type="dxa" w:w="907"/>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E8</w:t>
            </w:r>
          </w:p>
        </w:tc>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Panel Administrativo y Analítica</w:t>
            </w:r>
          </w:p>
        </w:tc>
        <w:tc>
          <w:tcPr>
            <w:tcW w:type="dxa" w:w="544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Reportes de ocupación e ingresos, y herramientas internas de soporte y moderación</w:t>
            </w:r>
          </w:p>
        </w:tc>
      </w:tr>
    </w:tbl>
    <w:p>
      <w:pPr>
        <w:spacing w:after="160"/>
      </w:pPr>
    </w:p>
    <w:p>
      <w:pPr>
        <w:pStyle w:val="Heading3"/>
        <w:spacing w:after="120" w:before="260"/>
      </w:pPr>
      <w:r>
        <w:rPr>
          <w:rFonts w:ascii="Calibri" w:cs="Calibri" w:eastAsia="Calibri" w:hAnsi="Calibri"/>
          <w:b/>
          <w:bCs/>
          <w:color w:val="2C4A3E"/>
          <w:sz w:val="23"/>
          <w:szCs w:val="23"/>
        </w:rPr>
        <w:t xml:space="preserve">4.4.2 Formato y Ejemplos de Historias de Usuario</w:t>
      </w:r>
    </w:p>
    <w:p>
      <w:pPr>
        <w:spacing w:after="160" w:line="276"/>
        <w:jc w:val="left"/>
      </w:pPr>
      <w:r>
        <w:rPr>
          <w:rFonts w:ascii="Calibri" w:cs="Calibri" w:eastAsia="Calibri" w:hAnsi="Calibri"/>
          <w:color w:val="232323"/>
          <w:sz w:val="21"/>
          <w:szCs w:val="21"/>
        </w:rPr>
        <w:t xml:space="preserve">A continuación se presentan cinco historias de usuario representativas del backlog inicial, seleccionadas por cubrir distintas épicas y niveles de complejidad. La estimación en story points sigue una escala de Fibonacci modificada (1, 2, 3, 5, 8, 13, 21), consensuada por el equipo de desarrollo durante el Sprint Planning.</w:t>
      </w:r>
    </w:p>
    <w:p>
      <w:pPr>
        <w:pStyle w:val="Heading4"/>
        <w:spacing w:after="100" w:before="200"/>
      </w:pPr>
      <w:r>
        <w:rPr>
          <w:rFonts w:ascii="Calibri" w:cs="Calibri" w:eastAsia="Calibri" w:hAnsi="Calibri"/>
          <w:b/>
          <w:bCs/>
          <w:i/>
          <w:iCs/>
          <w:color w:val="2C4A3E"/>
          <w:sz w:val="21"/>
          <w:szCs w:val="21"/>
        </w:rPr>
        <w:t xml:space="preserve">Historia HU-07 (Épica E3 — Búsqueda y Reserva) · 5 puntos</w:t>
      </w:r>
    </w:p>
    <w:p>
      <w:pPr>
        <w:spacing w:after="160" w:line="276"/>
        <w:jc w:val="left"/>
      </w:pPr>
      <w:r>
        <w:rPr>
          <w:rFonts w:ascii="Calibri" w:cs="Calibri" w:eastAsia="Calibri" w:hAnsi="Calibri"/>
          <w:color w:val="232323"/>
          <w:sz w:val="21"/>
          <w:szCs w:val="21"/>
        </w:rPr>
        <w:t xml:space="preserve">Como deportista que quiere jugar fútbol siete el fin de semana, quiero buscar canchas disponibles filtrando por deporte, distrito, fecha y rango de precio, para poder comparar opciones y reservar la que mejor se ajuste a mi grupo sin llamar por teléfono.</w:t>
      </w:r>
    </w:p>
    <w:p>
      <w:pPr>
        <w:pStyle w:val="ListParagraph"/>
        <w:numPr>
          <w:ilvl w:val="0"/>
          <w:numId w:val="2"/>
        </w:numPr>
        <w:spacing w:after="90" w:line="264"/>
      </w:pPr>
      <w:r>
        <w:rPr>
          <w:rFonts w:ascii="Calibri" w:cs="Calibri" w:eastAsia="Calibri" w:hAnsi="Calibri"/>
          <w:color w:val="232323"/>
          <w:sz w:val="21"/>
          <w:szCs w:val="21"/>
        </w:rPr>
        <w:t xml:space="preserve">Dado que estoy en la pantalla de búsqueda, cuando selecciono deporte, distrito y fecha, entonces la aplicación muestra únicamente las canchas que cumplen los tres filtros.</w:t>
      </w:r>
    </w:p>
    <w:p>
      <w:pPr>
        <w:pStyle w:val="ListParagraph"/>
        <w:numPr>
          <w:ilvl w:val="0"/>
          <w:numId w:val="2"/>
        </w:numPr>
        <w:spacing w:after="90" w:line="264"/>
      </w:pPr>
      <w:r>
        <w:rPr>
          <w:rFonts w:ascii="Calibri" w:cs="Calibri" w:eastAsia="Calibri" w:hAnsi="Calibri"/>
          <w:color w:val="232323"/>
          <w:sz w:val="21"/>
          <w:szCs w:val="21"/>
        </w:rPr>
        <w:t xml:space="preserve">Dado que no hay canchas disponibles con los filtros seleccionados, cuando se ejecuta la búsqueda, entonces la aplicación sugiere horarios o distritos alternativos con disponibilidad.</w:t>
      </w:r>
    </w:p>
    <w:p>
      <w:pPr>
        <w:pStyle w:val="Heading4"/>
        <w:spacing w:after="100" w:before="200"/>
      </w:pPr>
      <w:r>
        <w:rPr>
          <w:rFonts w:ascii="Calibri" w:cs="Calibri" w:eastAsia="Calibri" w:hAnsi="Calibri"/>
          <w:b/>
          <w:bCs/>
          <w:i/>
          <w:iCs/>
          <w:color w:val="2C4A3E"/>
          <w:sz w:val="21"/>
          <w:szCs w:val="21"/>
        </w:rPr>
        <w:t xml:space="preserve">Historia HU-12 (Épica E4 — Pagos y Liquidaciones) · 8 puntos</w:t>
      </w:r>
    </w:p>
    <w:p>
      <w:pPr>
        <w:spacing w:after="160" w:line="276"/>
        <w:jc w:val="left"/>
      </w:pPr>
      <w:r>
        <w:rPr>
          <w:rFonts w:ascii="Calibri" w:cs="Calibri" w:eastAsia="Calibri" w:hAnsi="Calibri"/>
          <w:color w:val="232323"/>
          <w:sz w:val="21"/>
          <w:szCs w:val="21"/>
        </w:rPr>
        <w:t xml:space="preserve">Como deportista, quiero reservar y pagar una cancha con Yape en menos de dos minutos, para asegurar el horario sin exponerme a que otro grupo lo tome primero.</w:t>
      </w:r>
    </w:p>
    <w:p>
      <w:pPr>
        <w:pStyle w:val="ListParagraph"/>
        <w:numPr>
          <w:ilvl w:val="0"/>
          <w:numId w:val="2"/>
        </w:numPr>
        <w:spacing w:after="90" w:line="264"/>
      </w:pPr>
      <w:r>
        <w:rPr>
          <w:rFonts w:ascii="Calibri" w:cs="Calibri" w:eastAsia="Calibri" w:hAnsi="Calibri"/>
          <w:color w:val="232323"/>
          <w:sz w:val="21"/>
          <w:szCs w:val="21"/>
        </w:rPr>
        <w:t xml:space="preserve">Dado que selecciono una cancha y un horario disponible, cuando confirmo la reserva y elijo Yape como medio de pago, entonces el sistema bloquea el horario durante 5 minutos mientras se confirma el pago.</w:t>
      </w:r>
    </w:p>
    <w:p>
      <w:pPr>
        <w:pStyle w:val="ListParagraph"/>
        <w:numPr>
          <w:ilvl w:val="0"/>
          <w:numId w:val="2"/>
        </w:numPr>
        <w:spacing w:after="90" w:line="264"/>
      </w:pPr>
      <w:r>
        <w:rPr>
          <w:rFonts w:ascii="Calibri" w:cs="Calibri" w:eastAsia="Calibri" w:hAnsi="Calibri"/>
          <w:color w:val="232323"/>
          <w:sz w:val="21"/>
          <w:szCs w:val="21"/>
        </w:rPr>
        <w:t xml:space="preserve">Dado que el pago con Yape es aprobado, cuando la pasarela notifica la confirmación, entonces la reserva cambia a estado «confirmada» y se envía un comprobante digital al deportista.</w:t>
      </w:r>
    </w:p>
    <w:p>
      <w:pPr>
        <w:pStyle w:val="ListParagraph"/>
        <w:numPr>
          <w:ilvl w:val="0"/>
          <w:numId w:val="2"/>
        </w:numPr>
        <w:spacing w:after="90" w:line="264"/>
      </w:pPr>
      <w:r>
        <w:rPr>
          <w:rFonts w:ascii="Calibri" w:cs="Calibri" w:eastAsia="Calibri" w:hAnsi="Calibri"/>
          <w:color w:val="232323"/>
          <w:sz w:val="21"/>
          <w:szCs w:val="21"/>
        </w:rPr>
        <w:t xml:space="preserve">Dado que el pago no se confirma dentro de la ventana de bloqueo, cuando expira el tiempo, entonces el horario se libera automáticamente para otros usuarios.</w:t>
      </w:r>
    </w:p>
    <w:p>
      <w:pPr>
        <w:pStyle w:val="Heading4"/>
        <w:spacing w:after="100" w:before="200"/>
      </w:pPr>
      <w:r>
        <w:rPr>
          <w:rFonts w:ascii="Calibri" w:cs="Calibri" w:eastAsia="Calibri" w:hAnsi="Calibri"/>
          <w:b/>
          <w:bCs/>
          <w:i/>
          <w:iCs/>
          <w:color w:val="2C4A3E"/>
          <w:sz w:val="21"/>
          <w:szCs w:val="21"/>
        </w:rPr>
        <w:t xml:space="preserve">Historia HU-03 (Épica E2 — Publicación y Gestión de Canchas) · 5 puntos</w:t>
      </w:r>
    </w:p>
    <w:p>
      <w:pPr>
        <w:spacing w:after="160" w:line="276"/>
        <w:jc w:val="left"/>
      </w:pPr>
      <w:r>
        <w:rPr>
          <w:rFonts w:ascii="Calibri" w:cs="Calibri" w:eastAsia="Calibri" w:hAnsi="Calibri"/>
          <w:color w:val="232323"/>
          <w:sz w:val="21"/>
          <w:szCs w:val="21"/>
        </w:rPr>
        <w:t xml:space="preserve">Como administrador de un centro deportivo, quiero publicar mi cancha con fotografías, horarios y precios diferenciados, para que los deportistas puedan encontrarla y reservarla directamente desde la aplicación.</w:t>
      </w:r>
    </w:p>
    <w:p>
      <w:pPr>
        <w:pStyle w:val="ListParagraph"/>
        <w:numPr>
          <w:ilvl w:val="0"/>
          <w:numId w:val="2"/>
        </w:numPr>
        <w:spacing w:after="90" w:line="264"/>
      </w:pPr>
      <w:r>
        <w:rPr>
          <w:rFonts w:ascii="Calibri" w:cs="Calibri" w:eastAsia="Calibri" w:hAnsi="Calibri"/>
          <w:color w:val="232323"/>
          <w:sz w:val="21"/>
          <w:szCs w:val="21"/>
        </w:rPr>
        <w:t xml:space="preserve">Dado que soy un administrador de centro verificado, cuando completo el formulario de publicación con al menos una fotografía, entonces la cancha queda visible en el buscador en un plazo no mayor a 5 minutos.</w:t>
      </w:r>
    </w:p>
    <w:p>
      <w:pPr>
        <w:pStyle w:val="ListParagraph"/>
        <w:numPr>
          <w:ilvl w:val="0"/>
          <w:numId w:val="2"/>
        </w:numPr>
        <w:spacing w:after="90" w:line="264"/>
      </w:pPr>
      <w:r>
        <w:rPr>
          <w:rFonts w:ascii="Calibri" w:cs="Calibri" w:eastAsia="Calibri" w:hAnsi="Calibri"/>
          <w:color w:val="232323"/>
          <w:sz w:val="21"/>
          <w:szCs w:val="21"/>
        </w:rPr>
        <w:t xml:space="preserve">Dado que defino precios diferenciados por franja horaria, cuando un deportista consulta un horario nocturno, entonces se muestra la tarifa correspondiente a esa franja y no la tarifa diurna.</w:t>
      </w:r>
    </w:p>
    <w:p>
      <w:pPr>
        <w:pStyle w:val="Heading4"/>
        <w:spacing w:after="100" w:before="200"/>
      </w:pPr>
      <w:r>
        <w:rPr>
          <w:rFonts w:ascii="Calibri" w:cs="Calibri" w:eastAsia="Calibri" w:hAnsi="Calibri"/>
          <w:b/>
          <w:bCs/>
          <w:i/>
          <w:iCs/>
          <w:color w:val="2C4A3E"/>
          <w:sz w:val="21"/>
          <w:szCs w:val="21"/>
        </w:rPr>
        <w:t xml:space="preserve">Historia HU-21 (Épica E5 — Campeonatos y Torneos) · 13 puntos</w:t>
      </w:r>
    </w:p>
    <w:p>
      <w:pPr>
        <w:spacing w:after="160" w:line="276"/>
        <w:jc w:val="left"/>
      </w:pPr>
      <w:r>
        <w:rPr>
          <w:rFonts w:ascii="Calibri" w:cs="Calibri" w:eastAsia="Calibri" w:hAnsi="Calibri"/>
          <w:color w:val="232323"/>
          <w:sz w:val="21"/>
          <w:szCs w:val="21"/>
        </w:rPr>
        <w:t xml:space="preserve">Como organizador de un campeonato, quiero generar automáticamente el cuadro de competencia de eliminación directa a partir de los equipos inscritos, para no tener que armarlo manualmente en una hoja de cálculo.</w:t>
      </w:r>
    </w:p>
    <w:p>
      <w:pPr>
        <w:pStyle w:val="ListParagraph"/>
        <w:numPr>
          <w:ilvl w:val="0"/>
          <w:numId w:val="2"/>
        </w:numPr>
        <w:spacing w:after="90" w:line="264"/>
      </w:pPr>
      <w:r>
        <w:rPr>
          <w:rFonts w:ascii="Calibri" w:cs="Calibri" w:eastAsia="Calibri" w:hAnsi="Calibri"/>
          <w:color w:val="232323"/>
          <w:sz w:val="21"/>
          <w:szCs w:val="21"/>
        </w:rPr>
        <w:t xml:space="preserve">Dado que tengo 16 equipos inscritos y confirmados, cuando genero el cuadro en modalidad «eliminación directa», entonces el sistema crea los emparejamientos de la primera ronda y reserva automáticamente las canchas necesarias según el calendario definido.</w:t>
      </w:r>
    </w:p>
    <w:p>
      <w:pPr>
        <w:pStyle w:val="ListParagraph"/>
        <w:numPr>
          <w:ilvl w:val="0"/>
          <w:numId w:val="2"/>
        </w:numPr>
        <w:spacing w:after="90" w:line="264"/>
      </w:pPr>
      <w:r>
        <w:rPr>
          <w:rFonts w:ascii="Calibri" w:cs="Calibri" w:eastAsia="Calibri" w:hAnsi="Calibri"/>
          <w:color w:val="232323"/>
          <w:sz w:val="21"/>
          <w:szCs w:val="21"/>
        </w:rPr>
        <w:t xml:space="preserve">Dado que el número de equipos inscritos no es una potencia de dos, cuando genero el cuadro, entonces el sistema asigna los pases directos («byes») necesarios de forma equitativa.</w:t>
      </w:r>
    </w:p>
    <w:p>
      <w:pPr>
        <w:spacing w:after="220" w:before="60"/>
        <w:ind w:left="200"/>
      </w:pPr>
      <w:r>
        <w:rPr>
          <w:rFonts w:ascii="Calibri" w:cs="Calibri" w:eastAsia="Calibri" w:hAnsi="Calibri"/>
          <w:i/>
          <w:iCs/>
          <w:color w:val="5B5B5B"/>
          <w:sz w:val="19"/>
          <w:szCs w:val="19"/>
        </w:rPr>
        <w:t xml:space="preserve">Se estima en 13 puntos por la complejidad del algoritmo de emparejamiento y su integración con el motor de reservas de canchas (dependencia directa con la Épica E3).</w:t>
      </w:r>
    </w:p>
    <w:p>
      <w:pPr>
        <w:pStyle w:val="Heading4"/>
        <w:spacing w:after="100" w:before="200"/>
      </w:pPr>
      <w:r>
        <w:rPr>
          <w:rFonts w:ascii="Calibri" w:cs="Calibri" w:eastAsia="Calibri" w:hAnsi="Calibri"/>
          <w:b/>
          <w:bCs/>
          <w:i/>
          <w:iCs/>
          <w:color w:val="2C4A3E"/>
          <w:sz w:val="21"/>
          <w:szCs w:val="21"/>
        </w:rPr>
        <w:t xml:space="preserve">Historia HU-29 (Épica E6 — Reputación y Reseñas) · 3 puntos</w:t>
      </w:r>
    </w:p>
    <w:p>
      <w:pPr>
        <w:spacing w:after="160" w:line="276"/>
        <w:jc w:val="left"/>
      </w:pPr>
      <w:r>
        <w:rPr>
          <w:rFonts w:ascii="Calibri" w:cs="Calibri" w:eastAsia="Calibri" w:hAnsi="Calibri"/>
          <w:color w:val="232323"/>
          <w:sz w:val="21"/>
          <w:szCs w:val="21"/>
        </w:rPr>
        <w:t xml:space="preserve">Como deportista, quiero calificar al centro deportivo después de jugar, para ayudar a otros usuarios a elegir mejor y para que el centro reciba retroalimentación honesta.</w:t>
      </w:r>
    </w:p>
    <w:p>
      <w:pPr>
        <w:pStyle w:val="ListParagraph"/>
        <w:numPr>
          <w:ilvl w:val="0"/>
          <w:numId w:val="2"/>
        </w:numPr>
        <w:spacing w:after="90" w:line="264"/>
      </w:pPr>
      <w:r>
        <w:rPr>
          <w:rFonts w:ascii="Calibri" w:cs="Calibri" w:eastAsia="Calibri" w:hAnsi="Calibri"/>
          <w:color w:val="232323"/>
          <w:sz w:val="21"/>
          <w:szCs w:val="21"/>
        </w:rPr>
        <w:t xml:space="preserve">Dado que una reserva ha finalizado, cuando abro la aplicación, entonces recibo una notificación invitándome a calificar el centro deportivo.</w:t>
      </w:r>
    </w:p>
    <w:p>
      <w:pPr>
        <w:pStyle w:val="ListParagraph"/>
        <w:numPr>
          <w:ilvl w:val="0"/>
          <w:numId w:val="2"/>
        </w:numPr>
        <w:spacing w:after="90" w:line="264"/>
      </w:pPr>
      <w:r>
        <w:rPr>
          <w:rFonts w:ascii="Calibri" w:cs="Calibri" w:eastAsia="Calibri" w:hAnsi="Calibri"/>
          <w:color w:val="232323"/>
          <w:sz w:val="21"/>
          <w:szCs w:val="21"/>
        </w:rPr>
        <w:t xml:space="preserve">Dado que envío una calificación con puntuación y comentario, cuando se procesa mi envío, entonces esta se refleja en el perfil público del centro en un plazo no mayor a 24 horas, sujeta a moderación automática de contenido ofensivo.</w:t>
      </w:r>
    </w:p>
    <w:p>
      <w:pPr>
        <w:pStyle w:val="Heading2"/>
        <w:spacing w:after="160" w:before="340"/>
      </w:pPr>
      <w:r>
        <w:rPr>
          <w:rFonts w:ascii="Calibri" w:cs="Calibri" w:eastAsia="Calibri" w:hAnsi="Calibri"/>
          <w:b/>
          <w:bCs/>
          <w:color w:val="1F6F4A"/>
          <w:sz w:val="26"/>
          <w:szCs w:val="26"/>
        </w:rPr>
        <w:t xml:space="preserve">4.5 Priorización del Backlog</w:t>
      </w:r>
    </w:p>
    <w:p>
      <w:pPr>
        <w:spacing w:after="160" w:line="276"/>
        <w:jc w:val="left"/>
      </w:pPr>
      <w:r>
        <w:rPr>
          <w:rFonts w:ascii="Calibri" w:cs="Calibri" w:eastAsia="Calibri" w:hAnsi="Calibri"/>
          <w:color w:val="232323"/>
          <w:sz w:val="21"/>
          <w:szCs w:val="21"/>
        </w:rPr>
        <w:t xml:space="preserve">Con el Product Backlog inicial ya construido, el Product Owner prioriza los elementos combinando dos técnicas complementarias.</w:t>
      </w:r>
    </w:p>
    <w:p>
      <w:pPr>
        <w:pStyle w:val="Heading3"/>
        <w:spacing w:after="120" w:before="260"/>
      </w:pPr>
      <w:r>
        <w:rPr>
          <w:rFonts w:ascii="Calibri" w:cs="Calibri" w:eastAsia="Calibri" w:hAnsi="Calibri"/>
          <w:b/>
          <w:bCs/>
          <w:color w:val="2C4A3E"/>
          <w:sz w:val="23"/>
          <w:szCs w:val="23"/>
        </w:rPr>
        <w:t xml:space="preserve">4.5.1 Clasificación MoSCoW</w:t>
      </w:r>
    </w:p>
    <w:p>
      <w:pPr>
        <w:spacing w:after="160" w:line="276"/>
        <w:jc w:val="left"/>
      </w:pPr>
      <w:r>
        <w:rPr>
          <w:rFonts w:ascii="Calibri" w:cs="Calibri" w:eastAsia="Calibri" w:hAnsi="Calibri"/>
          <w:color w:val="232323"/>
          <w:sz w:val="21"/>
          <w:szCs w:val="21"/>
        </w:rPr>
        <w:t xml:space="preserve">Cada épica se clasifica como Must have (imprescindible para el MVP), Should have (importante pero no bloqueante), Could have (deseable si el tiempo lo permite) o Won't have this time (explícitamente fuera del alcance de esta fase).</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2721"/>
        <w:gridCol w:w="1814"/>
        <w:gridCol w:w="4537"/>
      </w:tblGrid>
      <w:tr>
        <w:trPr>
          <w:cantSplit/>
          <w:tblHeader/>
        </w:trPr>
        <w:tc>
          <w:tcPr>
            <w:tcW w:type="dxa" w:w="2721"/>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Épica</w:t>
            </w:r>
          </w:p>
        </w:tc>
        <w:tc>
          <w:tcPr>
            <w:tcW w:type="dxa" w:w="1814"/>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Clasificación MoSCoW</w:t>
            </w:r>
          </w:p>
        </w:tc>
        <w:tc>
          <w:tcPr>
            <w:tcW w:type="dxa" w:w="4537"/>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Justificación breve</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E1 — Identidad y Autenticación</w:t>
            </w:r>
          </w:p>
        </w:tc>
        <w:tc>
          <w:tcPr>
            <w:tcW w:type="dxa" w:w="181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Must have</w:t>
            </w:r>
          </w:p>
        </w:tc>
        <w:tc>
          <w:tcPr>
            <w:tcW w:type="dxa" w:w="4537"/>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Sin autenticación no existe producto: es prerrequisito de todos los demás módulos</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E2 — Publicación y Gestión de Canchas</w:t>
            </w:r>
          </w:p>
        </w:tc>
        <w:tc>
          <w:tcPr>
            <w:tcW w:type="dxa" w:w="181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Must have</w:t>
            </w:r>
          </w:p>
        </w:tc>
        <w:tc>
          <w:tcPr>
            <w:tcW w:type="dxa" w:w="4537"/>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Sin oferta publicada no hay inventario que reservar (núcleo del modelo tipo Airbnb)</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E3 — Búsqueda y Reserva</w:t>
            </w:r>
          </w:p>
        </w:tc>
        <w:tc>
          <w:tcPr>
            <w:tcW w:type="dxa" w:w="181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Must have</w:t>
            </w:r>
          </w:p>
        </w:tc>
        <w:tc>
          <w:tcPr>
            <w:tcW w:type="dxa" w:w="4537"/>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Es el flujo transaccional central de la propuesta de valor</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E4 — Pagos y Liquidaciones</w:t>
            </w:r>
          </w:p>
        </w:tc>
        <w:tc>
          <w:tcPr>
            <w:tcW w:type="dxa" w:w="181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Must have</w:t>
            </w:r>
          </w:p>
        </w:tc>
        <w:tc>
          <w:tcPr>
            <w:tcW w:type="dxa" w:w="4537"/>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Sin cobro en línea no existe monetización ni confianza del centro deportivo</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E6 — Reputación y Reseñas</w:t>
            </w:r>
          </w:p>
        </w:tc>
        <w:tc>
          <w:tcPr>
            <w:tcW w:type="dxa" w:w="181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Should have</w:t>
            </w:r>
          </w:p>
        </w:tc>
        <w:tc>
          <w:tcPr>
            <w:tcW w:type="dxa" w:w="4537"/>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Refuerza la confianza pero el MVP puede operar sin ella en el piloto inicial</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E7 — Notificaciones</w:t>
            </w:r>
          </w:p>
        </w:tc>
        <w:tc>
          <w:tcPr>
            <w:tcW w:type="dxa" w:w="181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Should have</w:t>
            </w:r>
          </w:p>
        </w:tc>
        <w:tc>
          <w:tcPr>
            <w:tcW w:type="dxa" w:w="4537"/>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Mejora la experiencia; puede iniciar con un subconjunto mínimo (confirmación por correo)</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E5 — Campeonatos y Torneos</w:t>
            </w:r>
          </w:p>
        </w:tc>
        <w:tc>
          <w:tcPr>
            <w:tcW w:type="dxa" w:w="181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Could have (Fase 2 del alcance de negocio)</w:t>
            </w:r>
          </w:p>
        </w:tc>
        <w:tc>
          <w:tcPr>
            <w:tcW w:type="dxa" w:w="4537"/>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Diferenciador estratégico, pero no bloquea la validación inicial del motor de reservas</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E8 — Panel Administrativo y Analítica</w:t>
            </w:r>
          </w:p>
        </w:tc>
        <w:tc>
          <w:tcPr>
            <w:tcW w:type="dxa" w:w="181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Could have</w:t>
            </w:r>
          </w:p>
        </w:tc>
        <w:tc>
          <w:tcPr>
            <w:tcW w:type="dxa" w:w="4537"/>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Puede operar manualmente (consultas directas a base de datos) durante el piloto</w:t>
            </w:r>
          </w:p>
        </w:tc>
      </w:tr>
    </w:tbl>
    <w:p>
      <w:pPr>
        <w:spacing w:after="160"/>
      </w:pPr>
    </w:p>
    <w:p>
      <w:pPr>
        <w:pStyle w:val="Heading3"/>
        <w:spacing w:after="120" w:before="260"/>
      </w:pPr>
      <w:r>
        <w:rPr>
          <w:rFonts w:ascii="Calibri" w:cs="Calibri" w:eastAsia="Calibri" w:hAnsi="Calibri"/>
          <w:b/>
          <w:bCs/>
          <w:color w:val="2C4A3E"/>
          <w:sz w:val="23"/>
          <w:szCs w:val="23"/>
        </w:rPr>
        <w:t xml:space="preserve">4.5.2 Matriz de Valor vs. Esfuerzo</w:t>
      </w:r>
    </w:p>
    <w:p>
      <w:pPr>
        <w:spacing w:after="160" w:line="276"/>
        <w:jc w:val="left"/>
      </w:pPr>
      <w:r>
        <w:rPr>
          <w:rFonts w:ascii="Calibri" w:cs="Calibri" w:eastAsia="Calibri" w:hAnsi="Calibri"/>
          <w:color w:val="232323"/>
          <w:sz w:val="21"/>
          <w:szCs w:val="21"/>
        </w:rPr>
        <w:t xml:space="preserve">Como segundo filtro, cada historia de usuario se ubica en una matriz de dos ejes —valor percibido para el usuario y esfuerzo de implementación— para identificar «quick wins» (alto valor, bajo esfuerzo) que conviene priorizar dentro de cada épica.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tcBorders>
              <w:top w:val="dashed" w:color="9BB8AC" w:sz="6"/>
              <w:left w:val="dashed" w:color="9BB8AC" w:sz="6"/>
              <w:bottom w:val="dashed" w:color="9BB8AC" w:sz="6"/>
              <w:right w:val="dashed" w:color="9BB8AC" w:sz="6"/>
            </w:tcBorders>
            <w:shd w:fill="F5F8F7" w:val="clear"/>
            <w:tcMar>
              <w:top w:type="dxa" w:w="260"/>
              <w:left w:type="dxa" w:w="260"/>
              <w:bottom w:type="dxa" w:w="260"/>
              <w:right w:type="dxa" w:w="260"/>
            </w:tcMar>
            <w:vAlign w:val="center"/>
          </w:tcPr>
          <w:p>
            <w:pPr>
              <w:spacing w:before="420"/>
              <w:jc w:val="center"/>
            </w:pPr>
            <w:r>
              <w:rPr>
                <w:rFonts w:ascii="Calibri" w:cs="Calibri" w:eastAsia="Calibri" w:hAnsi="Calibri"/>
                <w:color w:val="1F6F4A"/>
                <w:sz w:val="44"/>
                <w:szCs w:val="44"/>
              </w:rPr>
              <w:t xml:space="preserve">◈</w:t>
            </w:r>
          </w:p>
          <w:p>
            <w:pPr>
              <w:spacing w:before="100"/>
              <w:jc w:val="center"/>
            </w:pPr>
            <w:r>
              <w:rPr>
                <w:rFonts w:ascii="Calibri" w:cs="Calibri" w:eastAsia="Calibri" w:hAnsi="Calibri"/>
                <w:b/>
                <w:bCs/>
                <w:color w:val="173F32"/>
                <w:sz w:val="19"/>
                <w:szCs w:val="19"/>
              </w:rPr>
              <w:t xml:space="preserve">ESPACIO RESERVADO PARA IMAGEN / DISEÑO</w:t>
            </w:r>
          </w:p>
          <w:p>
            <w:pPr>
              <w:spacing w:after="420" w:before="90"/>
              <w:ind w:left="900" w:right="900"/>
              <w:jc w:val="center"/>
            </w:pPr>
            <w:r>
              <w:rPr>
                <w:rFonts w:ascii="Calibri" w:cs="Calibri" w:eastAsia="Calibri" w:hAnsi="Calibri"/>
                <w:i/>
                <w:iCs/>
                <w:color w:val="5B5B5B"/>
                <w:sz w:val="18"/>
                <w:szCs w:val="18"/>
              </w:rPr>
              <w:t xml:space="preserve">Diagrama de cuadrantes (ejes Valor / Esfuerzo) con las historias de usuario del backlog inicial distribuidas en los cuatro cuadrantes: Quick wins, Proyectos mayores, Rellenos y Cuestionables.</w:t>
            </w:r>
          </w:p>
        </w:tc>
      </w:tr>
    </w:tbl>
    <w:p>
      <w:pPr>
        <w:spacing w:after="260" w:before="80"/>
        <w:jc w:val="center"/>
      </w:pPr>
      <w:r>
        <w:rPr>
          <w:rFonts w:ascii="Calibri" w:cs="Calibri" w:eastAsia="Calibri" w:hAnsi="Calibri"/>
          <w:i/>
          <w:iCs/>
          <w:color w:val="5B5B5B"/>
          <w:sz w:val="18"/>
          <w:szCs w:val="18"/>
        </w:rPr>
        <w:t xml:space="preserve">Figura P1. Matriz de priorización valor vs. esfuerzo del backlog inicial.</w:t>
      </w:r>
    </w:p>
    <w:p>
      <w:pPr>
        <w:pStyle w:val="Heading2"/>
        <w:spacing w:after="160" w:before="340"/>
      </w:pPr>
      <w:r>
        <w:rPr>
          <w:rFonts w:ascii="Calibri" w:cs="Calibri" w:eastAsia="Calibri" w:hAnsi="Calibri"/>
          <w:b/>
          <w:bCs/>
          <w:color w:val="1F6F4A"/>
          <w:sz w:val="26"/>
          <w:szCs w:val="26"/>
        </w:rPr>
        <w:t xml:space="preserve">4.6 Trazabilidad de Requerimientos</w:t>
      </w:r>
    </w:p>
    <w:p>
      <w:pPr>
        <w:spacing w:after="160" w:line="276"/>
        <w:jc w:val="left"/>
      </w:pPr>
      <w:r>
        <w:rPr>
          <w:rFonts w:ascii="Calibri" w:cs="Calibri" w:eastAsia="Calibri" w:hAnsi="Calibri"/>
          <w:color w:val="232323"/>
          <w:sz w:val="21"/>
          <w:szCs w:val="21"/>
        </w:rPr>
        <w:t xml:space="preserve">Para facilitar la validación posterior con los representantes y evitar la pérdida de contexto sobre el origen de cada requerimiento, se mantiene una matriz de trazabilidad que vincula cada historia de usuario con su técnica de levantamiento de origen y el requerimiento de negocio asociado del Plan de Negocios.</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2474"/>
        <w:gridCol w:w="3298"/>
        <w:gridCol w:w="3300"/>
      </w:tblGrid>
      <w:tr>
        <w:trPr>
          <w:cantSplit/>
          <w:tblHeader/>
        </w:trPr>
        <w:tc>
          <w:tcPr>
            <w:tcW w:type="dxa" w:w="2474"/>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Historia</w:t>
            </w:r>
          </w:p>
        </w:tc>
        <w:tc>
          <w:tcPr>
            <w:tcW w:type="dxa" w:w="3298"/>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Origen del requerimiento</w:t>
            </w:r>
          </w:p>
        </w:tc>
        <w:tc>
          <w:tcPr>
            <w:tcW w:type="dxa" w:w="3300"/>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Sección relacionada del Plan de Negocios</w:t>
            </w:r>
          </w:p>
        </w:tc>
      </w:tr>
      <w:tr>
        <w:trPr>
          <w:cantSplit/>
        </w:trPr>
        <w:tc>
          <w:tcPr>
            <w:tcW w:type="dxa" w:w="247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HU-07 — Búsqueda con filtros</w:t>
            </w:r>
          </w:p>
        </w:tc>
        <w:tc>
          <w:tcPr>
            <w:tcW w:type="dxa" w:w="3298"/>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Entrevistas a deportistas + benchmarking Playtomic/FairPlay</w:t>
            </w:r>
          </w:p>
        </w:tc>
        <w:tc>
          <w:tcPr>
            <w:tcW w:type="dxa" w:w="3300"/>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Sección 3.4.1 (Propuesta de valor para el deportista)</w:t>
            </w:r>
          </w:p>
        </w:tc>
      </w:tr>
      <w:tr>
        <w:trPr>
          <w:cantSplit/>
        </w:trPr>
        <w:tc>
          <w:tcPr>
            <w:tcW w:type="dxa" w:w="247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HU-12 — Pago con Yape en &lt;2 min</w:t>
            </w:r>
          </w:p>
        </w:tc>
        <w:tc>
          <w:tcPr>
            <w:tcW w:type="dxa" w:w="3298"/>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Encuesta digital (85 % de encuestados usa Yape/Plin como medio de pago principal)</w:t>
            </w:r>
          </w:p>
        </w:tc>
        <w:tc>
          <w:tcPr>
            <w:tcW w:type="dxa" w:w="3300"/>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Sección 4.1 (Contexto tecnológico) y 5.5 (Principios de diseño)</w:t>
            </w:r>
          </w:p>
        </w:tc>
      </w:tr>
      <w:tr>
        <w:trPr>
          <w:cantSplit/>
        </w:trPr>
        <w:tc>
          <w:tcPr>
            <w:tcW w:type="dxa" w:w="247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HU-03 — Publicación de cancha</w:t>
            </w:r>
          </w:p>
        </w:tc>
        <w:tc>
          <w:tcPr>
            <w:tcW w:type="dxa" w:w="3298"/>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Shadowing en 4 centros deportivos piloto</w:t>
            </w:r>
          </w:p>
        </w:tc>
        <w:tc>
          <w:tcPr>
            <w:tcW w:type="dxa" w:w="3300"/>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Sección 3.4.2 (Propuesta de valor para el centro deportivo)</w:t>
            </w:r>
          </w:p>
        </w:tc>
      </w:tr>
      <w:tr>
        <w:trPr>
          <w:cantSplit/>
        </w:trPr>
        <w:tc>
          <w:tcPr>
            <w:tcW w:type="dxa" w:w="247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HU-21 — Cuadro de competencia automático</w:t>
            </w:r>
          </w:p>
        </w:tc>
        <w:tc>
          <w:tcPr>
            <w:tcW w:type="dxa" w:w="3298"/>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Entrevistas con organizadores de ligas barriales</w:t>
            </w:r>
          </w:p>
        </w:tc>
        <w:tc>
          <w:tcPr>
            <w:tcW w:type="dxa" w:w="3300"/>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Sección 5.3 (Módulo de organización de campeonatos)</w:t>
            </w:r>
          </w:p>
        </w:tc>
      </w:tr>
    </w:tbl>
    <w:p>
      <w:pPr>
        <w:spacing w:after="160"/>
      </w:pPr>
    </w:p>
    <w:p>
      <w:pPr>
        <w:pStyle w:val="Heading2"/>
        <w:spacing w:after="160" w:before="340"/>
      </w:pPr>
      <w:r>
        <w:rPr>
          <w:rFonts w:ascii="Calibri" w:cs="Calibri" w:eastAsia="Calibri" w:hAnsi="Calibri"/>
          <w:b/>
          <w:bCs/>
          <w:color w:val="1F6F4A"/>
          <w:sz w:val="26"/>
          <w:szCs w:val="26"/>
        </w:rPr>
        <w:t xml:space="preserve">4.7 Entregables de la Fase</w:t>
      </w:r>
    </w:p>
    <w:p>
      <w:pPr>
        <w:pStyle w:val="ListParagraph"/>
        <w:numPr>
          <w:ilvl w:val="0"/>
          <w:numId w:val="2"/>
        </w:numPr>
        <w:spacing w:after="90" w:line="264"/>
      </w:pPr>
      <w:r>
        <w:rPr>
          <w:rFonts w:ascii="Calibri" w:cs="Calibri" w:eastAsia="Calibri" w:hAnsi="Calibri"/>
          <w:color w:val="232323"/>
          <w:sz w:val="21"/>
          <w:szCs w:val="21"/>
        </w:rPr>
        <w:t xml:space="preserve">Documento de especificación de requerimientos (SRS resumido), funcionales y no funcionales.</w:t>
      </w:r>
    </w:p>
    <w:p>
      <w:pPr>
        <w:pStyle w:val="ListParagraph"/>
        <w:numPr>
          <w:ilvl w:val="0"/>
          <w:numId w:val="2"/>
        </w:numPr>
        <w:spacing w:after="90" w:line="264"/>
      </w:pPr>
      <w:r>
        <w:rPr>
          <w:rFonts w:ascii="Calibri" w:cs="Calibri" w:eastAsia="Calibri" w:hAnsi="Calibri"/>
          <w:color w:val="232323"/>
          <w:sz w:val="21"/>
          <w:szCs w:val="21"/>
        </w:rPr>
        <w:t xml:space="preserve">Mapa de épicas con al menos 8 épicas identificadas y priorizadas mediante MoSCoW.</w:t>
      </w:r>
    </w:p>
    <w:p>
      <w:pPr>
        <w:pStyle w:val="ListParagraph"/>
        <w:numPr>
          <w:ilvl w:val="0"/>
          <w:numId w:val="2"/>
        </w:numPr>
        <w:spacing w:after="90" w:line="264"/>
      </w:pPr>
      <w:r>
        <w:rPr>
          <w:rFonts w:ascii="Calibri" w:cs="Calibri" w:eastAsia="Calibri" w:hAnsi="Calibri"/>
          <w:color w:val="232323"/>
          <w:sz w:val="21"/>
          <w:szCs w:val="21"/>
        </w:rPr>
        <w:t xml:space="preserve">Product Backlog inicial cargado en la herramienta de gestión ágil, con historias de usuario, criterios de aceptación y estimación en story points.</w:t>
      </w:r>
    </w:p>
    <w:p>
      <w:pPr>
        <w:pStyle w:val="ListParagraph"/>
        <w:numPr>
          <w:ilvl w:val="0"/>
          <w:numId w:val="2"/>
        </w:numPr>
        <w:spacing w:after="90" w:line="264"/>
      </w:pPr>
      <w:r>
        <w:rPr>
          <w:rFonts w:ascii="Calibri" w:cs="Calibri" w:eastAsia="Calibri" w:hAnsi="Calibri"/>
          <w:color w:val="232323"/>
          <w:sz w:val="21"/>
          <w:szCs w:val="21"/>
        </w:rPr>
        <w:t xml:space="preserve">Matriz de trazabilidad de requerimientos.</w:t>
      </w:r>
    </w:p>
    <w:p>
      <w:pPr>
        <w:pStyle w:val="Heading1"/>
        <w:pageBreakBefore/>
        <w:pBdr>
          <w:bottom w:val="single" w:color="1F6F4A" w:sz="14" w:space="8"/>
        </w:pBdr>
        <w:spacing w:after="260" w:before="0"/>
      </w:pPr>
      <w:r>
        <w:rPr>
          <w:rFonts w:ascii="Calibri" w:cs="Calibri" w:eastAsia="Calibri" w:hAnsi="Calibri"/>
          <w:b/>
          <w:bCs/>
          <w:color w:val="173F32"/>
          <w:sz w:val="32"/>
          <w:szCs w:val="32"/>
        </w:rPr>
        <w:t xml:space="preserve">5. Fase 2 — Diseño: UX/UI y Arquitectura de la Solución</w:t>
      </w:r>
    </w:p>
    <w:p>
      <w:pPr>
        <w:spacing w:after="160" w:line="276"/>
        <w:jc w:val="left"/>
      </w:pPr>
      <w:r>
        <w:rPr>
          <w:rFonts w:ascii="Calibri" w:cs="Calibri" w:eastAsia="Calibri" w:hAnsi="Calibri"/>
          <w:color w:val="232323"/>
          <w:sz w:val="21"/>
          <w:szCs w:val="21"/>
        </w:rPr>
        <w:t xml:space="preserve">La Fase 2 traduce el Product Backlog priorizado en dos productos de diseño paralelos: una experiencia de usuario validada (UX/UI) y una arquitectura de solución detallada que operacionaliza, a nivel de implementación, la arquitectura general descrita en la sección 7 del Plan de Negocios. Se recomienda ejecutar esta fase de forma parcialmente solapada con el cierre de la Fase 1, de modo que el diseño de las pantallas de mayor prioridad (búsqueda, reserva, pago) esté listo antes del primer Sprint Planning.</w:t>
      </w:r>
    </w:p>
    <w:p>
      <w:pPr>
        <w:pStyle w:val="Heading2"/>
        <w:spacing w:after="160" w:before="340"/>
      </w:pPr>
      <w:r>
        <w:rPr>
          <w:rFonts w:ascii="Calibri" w:cs="Calibri" w:eastAsia="Calibri" w:hAnsi="Calibri"/>
          <w:b/>
          <w:bCs/>
          <w:color w:val="1F6F4A"/>
          <w:sz w:val="26"/>
          <w:szCs w:val="26"/>
        </w:rPr>
        <w:t xml:space="preserve">5.1 Diseño Centrado en el Usuario (UCD)</w:t>
      </w:r>
    </w:p>
    <w:p>
      <w:pPr>
        <w:pStyle w:val="Heading3"/>
        <w:spacing w:after="120" w:before="260"/>
      </w:pPr>
      <w:r>
        <w:rPr>
          <w:rFonts w:ascii="Calibri" w:cs="Calibri" w:eastAsia="Calibri" w:hAnsi="Calibri"/>
          <w:b/>
          <w:bCs/>
          <w:color w:val="2C4A3E"/>
          <w:sz w:val="23"/>
          <w:szCs w:val="23"/>
        </w:rPr>
        <w:t xml:space="preserve">5.1.1 Arquetipos de Usuario (Personas)</w:t>
      </w:r>
    </w:p>
    <w:p>
      <w:pPr>
        <w:spacing w:after="160" w:line="276"/>
        <w:jc w:val="left"/>
      </w:pPr>
      <w:r>
        <w:rPr>
          <w:rFonts w:ascii="Calibri" w:cs="Calibri" w:eastAsia="Calibri" w:hAnsi="Calibri"/>
          <w:color w:val="232323"/>
          <w:sz w:val="21"/>
          <w:szCs w:val="21"/>
        </w:rPr>
        <w:t xml:space="preserve">Se definen tres arquetipos de usuario a partir de los hallazgos de la Fase 1, que orientan las decisiones de diseño a lo largo de todo el proyecto.</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2474"/>
        <w:gridCol w:w="3298"/>
        <w:gridCol w:w="3300"/>
      </w:tblGrid>
      <w:tr>
        <w:trPr>
          <w:cantSplit/>
          <w:tblHeader/>
        </w:trPr>
        <w:tc>
          <w:tcPr>
            <w:tcW w:type="dxa" w:w="2474"/>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Arquetipo</w:t>
            </w:r>
          </w:p>
        </w:tc>
        <w:tc>
          <w:tcPr>
            <w:tcW w:type="dxa" w:w="3298"/>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Perfil</w:t>
            </w:r>
          </w:p>
        </w:tc>
        <w:tc>
          <w:tcPr>
            <w:tcW w:type="dxa" w:w="3300"/>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Necesidad principal</w:t>
            </w:r>
          </w:p>
        </w:tc>
      </w:tr>
      <w:tr>
        <w:trPr>
          <w:cantSplit/>
        </w:trPr>
        <w:tc>
          <w:tcPr>
            <w:tcW w:type="dxa" w:w="247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«Mateo», el deportista recurrente</w:t>
            </w:r>
          </w:p>
        </w:tc>
        <w:tc>
          <w:tcPr>
            <w:tcW w:type="dxa" w:w="3298"/>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27 años, juega fútbol siete con su equipo de trabajo cada semana, paga con Yape</w:t>
            </w:r>
          </w:p>
        </w:tc>
        <w:tc>
          <w:tcPr>
            <w:tcW w:type="dxa" w:w="3300"/>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Reservar y pagar en menos de dos minutos, sin llamadas ni incertidumbre sobre disponibilidad</w:t>
            </w:r>
          </w:p>
        </w:tc>
      </w:tr>
      <w:tr>
        <w:trPr>
          <w:cantSplit/>
        </w:trPr>
        <w:tc>
          <w:tcPr>
            <w:tcW w:type="dxa" w:w="247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«Doña Rosa», la administradora del centro</w:t>
            </w:r>
          </w:p>
        </w:tc>
        <w:tc>
          <w:tcPr>
            <w:tcW w:type="dxa" w:w="3298"/>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52 años, administra un complejo de tres canchas, alfabetización digital media</w:t>
            </w:r>
          </w:p>
        </w:tc>
        <w:tc>
          <w:tcPr>
            <w:tcW w:type="dxa" w:w="3300"/>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Un panel simple que reduzca las llamadas y muestre con claridad sus ingresos</w:t>
            </w:r>
          </w:p>
        </w:tc>
      </w:tr>
      <w:tr>
        <w:trPr>
          <w:cantSplit/>
        </w:trPr>
        <w:tc>
          <w:tcPr>
            <w:tcW w:type="dxa" w:w="247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«Javier», el organizador institucional</w:t>
            </w:r>
          </w:p>
        </w:tc>
        <w:tc>
          <w:tcPr>
            <w:tcW w:type="dxa" w:w="3298"/>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35 años, coordina la liga deportiva interna de una empresa mediana</w:t>
            </w:r>
          </w:p>
        </w:tc>
        <w:tc>
          <w:tcPr>
            <w:tcW w:type="dxa" w:w="3300"/>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Crear un campeonato completo (inscripciones, cuadro, resultados) sin depender de hojas de cálculo</w:t>
            </w:r>
          </w:p>
        </w:tc>
      </w:tr>
    </w:tbl>
    <w:p>
      <w:pPr>
        <w:spacing w:after="160"/>
      </w:pPr>
    </w:p>
    <w:p>
      <w:pPr>
        <w:pStyle w:val="Heading3"/>
        <w:spacing w:after="120" w:before="260"/>
      </w:pPr>
      <w:r>
        <w:rPr>
          <w:rFonts w:ascii="Calibri" w:cs="Calibri" w:eastAsia="Calibri" w:hAnsi="Calibri"/>
          <w:b/>
          <w:bCs/>
          <w:color w:val="2C4A3E"/>
          <w:sz w:val="23"/>
          <w:szCs w:val="23"/>
        </w:rPr>
        <w:t xml:space="preserve">5.1.2 Flujos de Usuario Críticos (User Flows)</w:t>
      </w:r>
    </w:p>
    <w:p>
      <w:pPr>
        <w:spacing w:after="160" w:line="276"/>
        <w:jc w:val="left"/>
      </w:pPr>
      <w:r>
        <w:rPr>
          <w:rFonts w:ascii="Calibri" w:cs="Calibri" w:eastAsia="Calibri" w:hAnsi="Calibri"/>
          <w:color w:val="232323"/>
          <w:sz w:val="21"/>
          <w:szCs w:val="21"/>
        </w:rPr>
        <w:t xml:space="preserve">Se documentan como prioritarios los siguientes cuatro flujos, por ser los de mayor frecuencia de uso o mayor impacto en la confianza del usuario:</w:t>
      </w:r>
    </w:p>
    <w:p>
      <w:pPr>
        <w:pStyle w:val="ListParagraph"/>
        <w:numPr>
          <w:ilvl w:val="0"/>
          <w:numId w:val="2"/>
        </w:numPr>
        <w:spacing w:after="90" w:line="264"/>
      </w:pPr>
      <w:r>
        <w:rPr>
          <w:rFonts w:ascii="Calibri" w:cs="Calibri" w:eastAsia="Calibri" w:hAnsi="Calibri"/>
          <w:color w:val="232323"/>
          <w:sz w:val="21"/>
          <w:szCs w:val="21"/>
        </w:rPr>
        <w:t xml:space="preserve">Búsqueda y reserva de una cancha, desde la apertura de la aplicación hasta la confirmación de pago (objetivo: menos de dos minutos).</w:t>
      </w:r>
    </w:p>
    <w:p>
      <w:pPr>
        <w:pStyle w:val="ListParagraph"/>
        <w:numPr>
          <w:ilvl w:val="0"/>
          <w:numId w:val="2"/>
        </w:numPr>
        <w:spacing w:after="90" w:line="264"/>
      </w:pPr>
      <w:r>
        <w:rPr>
          <w:rFonts w:ascii="Calibri" w:cs="Calibri" w:eastAsia="Calibri" w:hAnsi="Calibri"/>
          <w:color w:val="232323"/>
          <w:sz w:val="21"/>
          <w:szCs w:val="21"/>
        </w:rPr>
        <w:t xml:space="preserve">Publicación de una nueva cancha por parte de un administrador de centro deportivo.</w:t>
      </w:r>
    </w:p>
    <w:p>
      <w:pPr>
        <w:pStyle w:val="ListParagraph"/>
        <w:numPr>
          <w:ilvl w:val="0"/>
          <w:numId w:val="2"/>
        </w:numPr>
        <w:spacing w:after="90" w:line="264"/>
      </w:pPr>
      <w:r>
        <w:rPr>
          <w:rFonts w:ascii="Calibri" w:cs="Calibri" w:eastAsia="Calibri" w:hAnsi="Calibri"/>
          <w:color w:val="232323"/>
          <w:sz w:val="21"/>
          <w:szCs w:val="21"/>
        </w:rPr>
        <w:t xml:space="preserve">Inscripción de un equipo a un campeonato y pago de la cuota de inscripción.</w:t>
      </w:r>
    </w:p>
    <w:p>
      <w:pPr>
        <w:pStyle w:val="ListParagraph"/>
        <w:numPr>
          <w:ilvl w:val="0"/>
          <w:numId w:val="2"/>
        </w:numPr>
        <w:spacing w:after="90" w:line="264"/>
      </w:pPr>
      <w:r>
        <w:rPr>
          <w:rFonts w:ascii="Calibri" w:cs="Calibri" w:eastAsia="Calibri" w:hAnsi="Calibri"/>
          <w:color w:val="232323"/>
          <w:sz w:val="21"/>
          <w:szCs w:val="21"/>
        </w:rPr>
        <w:t xml:space="preserve">Liquidación de fondos al centro deportivo y consulta de su reporte de ocupación.</w:t>
      </w:r>
    </w:p>
    <w:p>
      <w:pPr>
        <w:pStyle w:val="Heading3"/>
        <w:spacing w:after="120" w:before="260"/>
      </w:pPr>
      <w:r>
        <w:rPr>
          <w:rFonts w:ascii="Calibri" w:cs="Calibri" w:eastAsia="Calibri" w:hAnsi="Calibri"/>
          <w:b/>
          <w:bCs/>
          <w:color w:val="2C4A3E"/>
          <w:sz w:val="23"/>
          <w:szCs w:val="23"/>
        </w:rPr>
        <w:t xml:space="preserve">5.1.3 Wireframes y Prototipos</w:t>
      </w:r>
    </w:p>
    <w:p>
      <w:pPr>
        <w:spacing w:after="160" w:line="276"/>
        <w:jc w:val="left"/>
      </w:pPr>
      <w:r>
        <w:rPr>
          <w:rFonts w:ascii="Calibri" w:cs="Calibri" w:eastAsia="Calibri" w:hAnsi="Calibri"/>
          <w:color w:val="232323"/>
          <w:sz w:val="21"/>
          <w:szCs w:val="21"/>
        </w:rPr>
        <w:t xml:space="preserve">El diseño avanza en dos etapas: wireframes de baja fidelidad para validar la estructura de información sin distraer con el estilo visual, seguidos de prototipos navegables de alta fidelidad construidos en Figma, ya alineados con el sistema de diseño de la marca.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tcBorders>
              <w:top w:val="dashed" w:color="9BB8AC" w:sz="6"/>
              <w:left w:val="dashed" w:color="9BB8AC" w:sz="6"/>
              <w:bottom w:val="dashed" w:color="9BB8AC" w:sz="6"/>
              <w:right w:val="dashed" w:color="9BB8AC" w:sz="6"/>
            </w:tcBorders>
            <w:shd w:fill="F5F8F7" w:val="clear"/>
            <w:tcMar>
              <w:top w:type="dxa" w:w="260"/>
              <w:left w:type="dxa" w:w="260"/>
              <w:bottom w:type="dxa" w:w="260"/>
              <w:right w:type="dxa" w:w="260"/>
            </w:tcMar>
            <w:vAlign w:val="center"/>
          </w:tcPr>
          <w:p>
            <w:pPr>
              <w:spacing w:before="616"/>
              <w:jc w:val="center"/>
            </w:pPr>
            <w:r>
              <w:rPr>
                <w:rFonts w:ascii="Calibri" w:cs="Calibri" w:eastAsia="Calibri" w:hAnsi="Calibri"/>
                <w:color w:val="1F6F4A"/>
                <w:sz w:val="44"/>
                <w:szCs w:val="44"/>
              </w:rPr>
              <w:t xml:space="preserve">◈</w:t>
            </w:r>
          </w:p>
          <w:p>
            <w:pPr>
              <w:spacing w:before="100"/>
              <w:jc w:val="center"/>
            </w:pPr>
            <w:r>
              <w:rPr>
                <w:rFonts w:ascii="Calibri" w:cs="Calibri" w:eastAsia="Calibri" w:hAnsi="Calibri"/>
                <w:b/>
                <w:bCs/>
                <w:color w:val="173F32"/>
                <w:sz w:val="19"/>
                <w:szCs w:val="19"/>
              </w:rPr>
              <w:t xml:space="preserve">ESPACIO RESERVADO PARA IMAGEN / DISEÑO</w:t>
            </w:r>
          </w:p>
          <w:p>
            <w:pPr>
              <w:spacing w:after="616" w:before="90"/>
              <w:ind w:left="900" w:right="900"/>
              <w:jc w:val="center"/>
            </w:pPr>
            <w:r>
              <w:rPr>
                <w:rFonts w:ascii="Calibri" w:cs="Calibri" w:eastAsia="Calibri" w:hAnsi="Calibri"/>
                <w:i/>
                <w:iCs/>
                <w:color w:val="5B5B5B"/>
                <w:sz w:val="18"/>
                <w:szCs w:val="18"/>
              </w:rPr>
              <w:t xml:space="preserve">Secuencia de 4 a 6 pantallas en escala de grises: búsqueda con filtros, listado de resultados, detalle de la cancha y confirmación de reserva/pago.</w:t>
            </w:r>
          </w:p>
        </w:tc>
      </w:tr>
    </w:tbl>
    <w:p>
      <w:pPr>
        <w:spacing w:after="260" w:before="80"/>
        <w:jc w:val="center"/>
      </w:pPr>
      <w:r>
        <w:rPr>
          <w:rFonts w:ascii="Calibri" w:cs="Calibri" w:eastAsia="Calibri" w:hAnsi="Calibri"/>
          <w:i/>
          <w:iCs/>
          <w:color w:val="5B5B5B"/>
          <w:sz w:val="18"/>
          <w:szCs w:val="18"/>
        </w:rPr>
        <w:t xml:space="preserve">Figura P2. Wireframes de baja fidelidad — flujo de búsqueda y reserva de cancha.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tcBorders>
              <w:top w:val="dashed" w:color="9BB8AC" w:sz="6"/>
              <w:left w:val="dashed" w:color="9BB8AC" w:sz="6"/>
              <w:bottom w:val="dashed" w:color="9BB8AC" w:sz="6"/>
              <w:right w:val="dashed" w:color="9BB8AC" w:sz="6"/>
            </w:tcBorders>
            <w:shd w:fill="F5F8F7" w:val="clear"/>
            <w:tcMar>
              <w:top w:type="dxa" w:w="260"/>
              <w:left w:type="dxa" w:w="260"/>
              <w:bottom w:type="dxa" w:w="260"/>
              <w:right w:type="dxa" w:w="260"/>
            </w:tcMar>
            <w:vAlign w:val="center"/>
          </w:tcPr>
          <w:p>
            <w:pPr>
              <w:spacing w:before="616"/>
              <w:jc w:val="center"/>
            </w:pPr>
            <w:r>
              <w:rPr>
                <w:rFonts w:ascii="Calibri" w:cs="Calibri" w:eastAsia="Calibri" w:hAnsi="Calibri"/>
                <w:color w:val="1F6F4A"/>
                <w:sz w:val="44"/>
                <w:szCs w:val="44"/>
              </w:rPr>
              <w:t xml:space="preserve">◈</w:t>
            </w:r>
          </w:p>
          <w:p>
            <w:pPr>
              <w:spacing w:before="100"/>
              <w:jc w:val="center"/>
            </w:pPr>
            <w:r>
              <w:rPr>
                <w:rFonts w:ascii="Calibri" w:cs="Calibri" w:eastAsia="Calibri" w:hAnsi="Calibri"/>
                <w:b/>
                <w:bCs/>
                <w:color w:val="173F32"/>
                <w:sz w:val="19"/>
                <w:szCs w:val="19"/>
              </w:rPr>
              <w:t xml:space="preserve">ESPACIO RESERVADO PARA IMAGEN / DISEÑO</w:t>
            </w:r>
          </w:p>
          <w:p>
            <w:pPr>
              <w:spacing w:after="616" w:before="90"/>
              <w:ind w:left="900" w:right="900"/>
              <w:jc w:val="center"/>
            </w:pPr>
            <w:r>
              <w:rPr>
                <w:rFonts w:ascii="Calibri" w:cs="Calibri" w:eastAsia="Calibri" w:hAnsi="Calibri"/>
                <w:i/>
                <w:iCs/>
                <w:color w:val="5B5B5B"/>
                <w:sz w:val="18"/>
                <w:szCs w:val="18"/>
              </w:rPr>
              <w:t xml:space="preserve">Vista de calendario de reservas, reporte de ocupación e ingresos, y formulario de publicación de cancha, ya con la paleta de color y tipografía de marca aplicadas.</w:t>
            </w:r>
          </w:p>
        </w:tc>
      </w:tr>
    </w:tbl>
    <w:p>
      <w:pPr>
        <w:spacing w:after="260" w:before="80"/>
        <w:jc w:val="center"/>
      </w:pPr>
      <w:r>
        <w:rPr>
          <w:rFonts w:ascii="Calibri" w:cs="Calibri" w:eastAsia="Calibri" w:hAnsi="Calibri"/>
          <w:i/>
          <w:iCs/>
          <w:color w:val="5B5B5B"/>
          <w:sz w:val="18"/>
          <w:szCs w:val="18"/>
        </w:rPr>
        <w:t xml:space="preserve">Figura P3. Prototipo de alta fidelidad — panel de administración del centro deportivo.</w:t>
      </w:r>
    </w:p>
    <w:p>
      <w:pPr>
        <w:pStyle w:val="Heading3"/>
        <w:spacing w:after="120" w:before="260"/>
      </w:pPr>
      <w:r>
        <w:rPr>
          <w:rFonts w:ascii="Calibri" w:cs="Calibri" w:eastAsia="Calibri" w:hAnsi="Calibri"/>
          <w:b/>
          <w:bCs/>
          <w:color w:val="2C4A3E"/>
          <w:sz w:val="23"/>
          <w:szCs w:val="23"/>
        </w:rPr>
        <w:t xml:space="preserve">5.1.4 Sistema de Diseño (Design System)</w:t>
      </w:r>
    </w:p>
    <w:p>
      <w:pPr>
        <w:spacing w:after="160" w:line="276"/>
        <w:jc w:val="left"/>
      </w:pPr>
      <w:r>
        <w:rPr>
          <w:rFonts w:ascii="Calibri" w:cs="Calibri" w:eastAsia="Calibri" w:hAnsi="Calibri"/>
          <w:color w:val="232323"/>
          <w:sz w:val="21"/>
          <w:szCs w:val="21"/>
        </w:rPr>
        <w:t xml:space="preserve">Para garantizar consistencia visual entre la aplicación móvil, la web y los paneles administrativos, se construye un sistema de diseño reutilizable antes de iniciar el desarrollo de pantallas.</w:t>
      </w:r>
    </w:p>
    <w:p>
      <w:pPr>
        <w:pStyle w:val="ListParagraph"/>
        <w:numPr>
          <w:ilvl w:val="0"/>
          <w:numId w:val="2"/>
        </w:numPr>
        <w:spacing w:after="90" w:line="264"/>
      </w:pPr>
      <w:r>
        <w:rPr>
          <w:rFonts w:ascii="Calibri" w:cs="Calibri" w:eastAsia="Calibri" w:hAnsi="Calibri"/>
          <w:b/>
          <w:bCs/>
          <w:color w:val="232323"/>
          <w:sz w:val="21"/>
          <w:szCs w:val="21"/>
        </w:rPr>
        <w:t xml:space="preserve">Paleta de color: </w:t>
      </w:r>
      <w:r>
        <w:rPr>
          <w:rFonts w:ascii="Calibri" w:cs="Calibri" w:eastAsia="Calibri" w:hAnsi="Calibri"/>
          <w:color w:val="232323"/>
          <w:sz w:val="21"/>
          <w:szCs w:val="21"/>
        </w:rPr>
        <w:t xml:space="preserve">tonos verdes (identidad deportiva/cancha) como color primario, con un color de acento cálido para llamadas a la acción (botones de reserva y pago).</w:t>
      </w:r>
    </w:p>
    <w:p>
      <w:pPr>
        <w:pStyle w:val="ListParagraph"/>
        <w:numPr>
          <w:ilvl w:val="0"/>
          <w:numId w:val="2"/>
        </w:numPr>
        <w:spacing w:after="90" w:line="264"/>
      </w:pPr>
      <w:r>
        <w:rPr>
          <w:rFonts w:ascii="Calibri" w:cs="Calibri" w:eastAsia="Calibri" w:hAnsi="Calibri"/>
          <w:b/>
          <w:bCs/>
          <w:color w:val="232323"/>
          <w:sz w:val="21"/>
          <w:szCs w:val="21"/>
        </w:rPr>
        <w:t xml:space="preserve">Tipografía: </w:t>
      </w:r>
      <w:r>
        <w:rPr>
          <w:rFonts w:ascii="Calibri" w:cs="Calibri" w:eastAsia="Calibri" w:hAnsi="Calibri"/>
          <w:color w:val="232323"/>
          <w:sz w:val="21"/>
          <w:szCs w:val="21"/>
        </w:rPr>
        <w:t xml:space="preserve">una familia tipográfica sans-serif de alta legibilidad en pantallas móviles, con al menos tres pesos (regular, medium, bold).</w:t>
      </w:r>
    </w:p>
    <w:p>
      <w:pPr>
        <w:pStyle w:val="ListParagraph"/>
        <w:numPr>
          <w:ilvl w:val="0"/>
          <w:numId w:val="2"/>
        </w:numPr>
        <w:spacing w:after="90" w:line="264"/>
      </w:pPr>
      <w:r>
        <w:rPr>
          <w:rFonts w:ascii="Calibri" w:cs="Calibri" w:eastAsia="Calibri" w:hAnsi="Calibri"/>
          <w:b/>
          <w:bCs/>
          <w:color w:val="232323"/>
          <w:sz w:val="21"/>
          <w:szCs w:val="21"/>
        </w:rPr>
        <w:t xml:space="preserve">Biblioteca de componentes: </w:t>
      </w:r>
      <w:r>
        <w:rPr>
          <w:rFonts w:ascii="Calibri" w:cs="Calibri" w:eastAsia="Calibri" w:hAnsi="Calibri"/>
          <w:color w:val="232323"/>
          <w:sz w:val="21"/>
          <w:szCs w:val="21"/>
        </w:rPr>
        <w:t xml:space="preserve">botones, campos de formulario, tarjetas de cancha, chips de filtro, calendario de disponibilidad y estados vacíos (empty states), documentados como componentes reutilizables en Figma y en el código (biblioteca de componentes React Native / React).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tcBorders>
              <w:top w:val="dashed" w:color="9BB8AC" w:sz="6"/>
              <w:left w:val="dashed" w:color="9BB8AC" w:sz="6"/>
              <w:bottom w:val="dashed" w:color="9BB8AC" w:sz="6"/>
              <w:right w:val="dashed" w:color="9BB8AC" w:sz="6"/>
            </w:tcBorders>
            <w:shd w:fill="F5F8F7" w:val="clear"/>
            <w:tcMar>
              <w:top w:type="dxa" w:w="260"/>
              <w:left w:type="dxa" w:w="260"/>
              <w:bottom w:type="dxa" w:w="260"/>
              <w:right w:type="dxa" w:w="260"/>
            </w:tcMar>
            <w:vAlign w:val="center"/>
          </w:tcPr>
          <w:p>
            <w:pPr>
              <w:spacing w:before="616"/>
              <w:jc w:val="center"/>
            </w:pPr>
            <w:r>
              <w:rPr>
                <w:rFonts w:ascii="Calibri" w:cs="Calibri" w:eastAsia="Calibri" w:hAnsi="Calibri"/>
                <w:color w:val="1F6F4A"/>
                <w:sz w:val="44"/>
                <w:szCs w:val="44"/>
              </w:rPr>
              <w:t xml:space="preserve">◈</w:t>
            </w:r>
          </w:p>
          <w:p>
            <w:pPr>
              <w:spacing w:before="100"/>
              <w:jc w:val="center"/>
            </w:pPr>
            <w:r>
              <w:rPr>
                <w:rFonts w:ascii="Calibri" w:cs="Calibri" w:eastAsia="Calibri" w:hAnsi="Calibri"/>
                <w:b/>
                <w:bCs/>
                <w:color w:val="173F32"/>
                <w:sz w:val="19"/>
                <w:szCs w:val="19"/>
              </w:rPr>
              <w:t xml:space="preserve">ESPACIO RESERVADO PARA IMAGEN / DISEÑO</w:t>
            </w:r>
          </w:p>
          <w:p>
            <w:pPr>
              <w:spacing w:after="616" w:before="90"/>
              <w:ind w:left="900" w:right="900"/>
              <w:jc w:val="center"/>
            </w:pPr>
            <w:r>
              <w:rPr>
                <w:rFonts w:ascii="Calibri" w:cs="Calibri" w:eastAsia="Calibri" w:hAnsi="Calibri"/>
                <w:i/>
                <w:iCs/>
                <w:color w:val="5B5B5B"/>
                <w:sz w:val="18"/>
                <w:szCs w:val="18"/>
              </w:rPr>
              <w:t xml:space="preserve">Lámina de estilo (style tile) con la paleta de color, escala tipográfica y los componentes de interfaz reutilizables: botones, tarjetas, chips de filtro y estados del calendario de disponibilidad.</w:t>
            </w:r>
          </w:p>
        </w:tc>
      </w:tr>
    </w:tbl>
    <w:p>
      <w:pPr>
        <w:spacing w:after="260" w:before="80"/>
        <w:jc w:val="center"/>
      </w:pPr>
      <w:r>
        <w:rPr>
          <w:rFonts w:ascii="Calibri" w:cs="Calibri" w:eastAsia="Calibri" w:hAnsi="Calibri"/>
          <w:i/>
          <w:iCs/>
          <w:color w:val="5B5B5B"/>
          <w:sz w:val="18"/>
          <w:szCs w:val="18"/>
        </w:rPr>
        <w:t xml:space="preserve">Figura P4. Sistema de diseño KanchaYA — paleta, tipografía y componentes base.</w:t>
      </w:r>
    </w:p>
    <w:p>
      <w:pPr>
        <w:pStyle w:val="Heading3"/>
        <w:spacing w:after="120" w:before="260"/>
      </w:pPr>
      <w:r>
        <w:rPr>
          <w:rFonts w:ascii="Calibri" w:cs="Calibri" w:eastAsia="Calibri" w:hAnsi="Calibri"/>
          <w:b/>
          <w:bCs/>
          <w:color w:val="2C4A3E"/>
          <w:sz w:val="23"/>
          <w:szCs w:val="23"/>
        </w:rPr>
        <w:t xml:space="preserve">5.1.5 Validación de Diseño con Usuarios Piloto</w:t>
      </w:r>
    </w:p>
    <w:p>
      <w:pPr>
        <w:spacing w:after="160" w:line="276"/>
        <w:jc w:val="left"/>
      </w:pPr>
      <w:r>
        <w:rPr>
          <w:rFonts w:ascii="Calibri" w:cs="Calibri" w:eastAsia="Calibri" w:hAnsi="Calibri"/>
          <w:color w:val="232323"/>
          <w:sz w:val="21"/>
          <w:szCs w:val="21"/>
        </w:rPr>
        <w:t xml:space="preserve">Antes de iniciar la construcción, el prototipo navegable se valida mediante pruebas de usabilidad moderadas con 5 a 8 usuarios por arquetipo (umbral que, de acuerdo con la práctica estándar de investigación de usabilidad, permite detectar la mayoría de los problemas críticos de una interfaz), midiendo tasa de finalización de tarea, tiempo por tarea y nivel de satisfacción subjetiva (escala SUS — System Usability Scale).</w:t>
      </w:r>
    </w:p>
    <w:p>
      <w:pPr>
        <w:pStyle w:val="Heading2"/>
        <w:spacing w:after="160" w:before="340"/>
      </w:pPr>
      <w:r>
        <w:rPr>
          <w:rFonts w:ascii="Calibri" w:cs="Calibri" w:eastAsia="Calibri" w:hAnsi="Calibri"/>
          <w:b/>
          <w:bCs/>
          <w:color w:val="1F6F4A"/>
          <w:sz w:val="26"/>
          <w:szCs w:val="26"/>
        </w:rPr>
        <w:t xml:space="preserve">5.2 Arquitectura de la Solución (Detalle de Implementación)</w:t>
      </w:r>
    </w:p>
    <w:p>
      <w:pPr>
        <w:spacing w:after="160" w:line="276"/>
        <w:jc w:val="left"/>
      </w:pPr>
      <w:r>
        <w:rPr>
          <w:rFonts w:ascii="Calibri" w:cs="Calibri" w:eastAsia="Calibri" w:hAnsi="Calibri"/>
          <w:color w:val="232323"/>
          <w:sz w:val="21"/>
          <w:szCs w:val="21"/>
        </w:rPr>
        <w:t xml:space="preserve">Esta sección profundiza, a nivel de implementación, la arquitectura general de seis capas descrita en la sección 7.1 del Plan de Negocios (clientes, borde y entrega, servicios de negocio, integraciones externas, datos y almacenamiento, e infraestructura), sin repetir su contenido.</w:t>
      </w:r>
    </w:p>
    <w:p>
      <w:pPr>
        <w:pStyle w:val="Heading3"/>
        <w:spacing w:after="120" w:before="260"/>
      </w:pPr>
      <w:r>
        <w:rPr>
          <w:rFonts w:ascii="Calibri" w:cs="Calibri" w:eastAsia="Calibri" w:hAnsi="Calibri"/>
          <w:b/>
          <w:bCs/>
          <w:color w:val="2C4A3E"/>
          <w:sz w:val="23"/>
          <w:szCs w:val="23"/>
        </w:rPr>
        <w:t xml:space="preserve">5.2.1 Diagrama de Arquitectura de Referencia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tcBorders>
              <w:top w:val="dashed" w:color="9BB8AC" w:sz="6"/>
              <w:left w:val="dashed" w:color="9BB8AC" w:sz="6"/>
              <w:bottom w:val="dashed" w:color="9BB8AC" w:sz="6"/>
              <w:right w:val="dashed" w:color="9BB8AC" w:sz="6"/>
            </w:tcBorders>
            <w:shd w:fill="F5F8F7" w:val="clear"/>
            <w:tcMar>
              <w:top w:type="dxa" w:w="260"/>
              <w:left w:type="dxa" w:w="260"/>
              <w:bottom w:type="dxa" w:w="260"/>
              <w:right w:type="dxa" w:w="260"/>
            </w:tcMar>
            <w:vAlign w:val="center"/>
          </w:tcPr>
          <w:p>
            <w:pPr>
              <w:spacing w:before="420"/>
              <w:jc w:val="center"/>
            </w:pPr>
            <w:r>
              <w:rPr>
                <w:rFonts w:ascii="Calibri" w:cs="Calibri" w:eastAsia="Calibri" w:hAnsi="Calibri"/>
                <w:color w:val="1F6F4A"/>
                <w:sz w:val="44"/>
                <w:szCs w:val="44"/>
              </w:rPr>
              <w:t xml:space="preserve">◈</w:t>
            </w:r>
          </w:p>
          <w:p>
            <w:pPr>
              <w:spacing w:before="100"/>
              <w:jc w:val="center"/>
            </w:pPr>
            <w:r>
              <w:rPr>
                <w:rFonts w:ascii="Calibri" w:cs="Calibri" w:eastAsia="Calibri" w:hAnsi="Calibri"/>
                <w:b/>
                <w:bCs/>
                <w:color w:val="173F32"/>
                <w:sz w:val="19"/>
                <w:szCs w:val="19"/>
              </w:rPr>
              <w:t xml:space="preserve">ESPACIO RESERVADO PARA IMAGEN / DISEÑO</w:t>
            </w:r>
          </w:p>
          <w:p>
            <w:pPr>
              <w:spacing w:after="420" w:before="90"/>
              <w:ind w:left="900" w:right="900"/>
              <w:jc w:val="center"/>
            </w:pPr>
            <w:r>
              <w:rPr>
                <w:rFonts w:ascii="Calibri" w:cs="Calibri" w:eastAsia="Calibri" w:hAnsi="Calibri"/>
                <w:i/>
                <w:iCs/>
                <w:color w:val="5B5B5B"/>
                <w:sz w:val="18"/>
                <w:szCs w:val="18"/>
              </w:rPr>
              <w:t xml:space="preserve">Diagrama de componentes mostrando el API Gateway, los ocho microservicios de la Tabla 5 del Plan de Negocios, sus bases de datos dedicadas o compartidas, y las integraciones externas (Culqi/Niubiz, Google Maps, WhatsApp Business API, Firebase Cloud Messaging).</w:t>
            </w:r>
          </w:p>
        </w:tc>
      </w:tr>
    </w:tbl>
    <w:p>
      <w:pPr>
        <w:spacing w:after="260" w:before="80"/>
        <w:jc w:val="center"/>
      </w:pPr>
      <w:r>
        <w:rPr>
          <w:rFonts w:ascii="Calibri" w:cs="Calibri" w:eastAsia="Calibri" w:hAnsi="Calibri"/>
          <w:i/>
          <w:iCs/>
          <w:color w:val="5B5B5B"/>
          <w:sz w:val="18"/>
          <w:szCs w:val="18"/>
        </w:rPr>
        <w:t xml:space="preserve">Figura P5. Diagrama de arquitectura de implementación (ampliación de la Figura 3 del Plan de Negocios).</w:t>
      </w:r>
    </w:p>
    <w:p>
      <w:pPr>
        <w:pStyle w:val="Heading3"/>
        <w:spacing w:after="120" w:before="260"/>
      </w:pPr>
      <w:r>
        <w:rPr>
          <w:rFonts w:ascii="Calibri" w:cs="Calibri" w:eastAsia="Calibri" w:hAnsi="Calibri"/>
          <w:b/>
          <w:bCs/>
          <w:color w:val="2C4A3E"/>
          <w:sz w:val="23"/>
          <w:szCs w:val="23"/>
        </w:rPr>
        <w:t xml:space="preserve">5.2.2 Diagramas de Secuencia — Flujos Críticos</w:t>
      </w:r>
    </w:p>
    <w:p>
      <w:pPr>
        <w:spacing w:after="160" w:line="276"/>
        <w:jc w:val="left"/>
      </w:pPr>
      <w:r>
        <w:rPr>
          <w:rFonts w:ascii="Calibri" w:cs="Calibri" w:eastAsia="Calibri" w:hAnsi="Calibri"/>
          <w:color w:val="232323"/>
          <w:sz w:val="21"/>
          <w:szCs w:val="21"/>
        </w:rPr>
        <w:t xml:space="preserve">Se documentan diagramas de secuencia para los dos flujos de mayor criticidad transaccional, dado que cualquier error de diseño en ellos tiene impacto financiero directo.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tcBorders>
              <w:top w:val="dashed" w:color="9BB8AC" w:sz="6"/>
              <w:left w:val="dashed" w:color="9BB8AC" w:sz="6"/>
              <w:bottom w:val="dashed" w:color="9BB8AC" w:sz="6"/>
              <w:right w:val="dashed" w:color="9BB8AC" w:sz="6"/>
            </w:tcBorders>
            <w:shd w:fill="F5F8F7" w:val="clear"/>
            <w:tcMar>
              <w:top w:type="dxa" w:w="260"/>
              <w:left w:type="dxa" w:w="260"/>
              <w:bottom w:type="dxa" w:w="260"/>
              <w:right w:type="dxa" w:w="260"/>
            </w:tcMar>
            <w:vAlign w:val="center"/>
          </w:tcPr>
          <w:p>
            <w:pPr>
              <w:spacing w:before="616"/>
              <w:jc w:val="center"/>
            </w:pPr>
            <w:r>
              <w:rPr>
                <w:rFonts w:ascii="Calibri" w:cs="Calibri" w:eastAsia="Calibri" w:hAnsi="Calibri"/>
                <w:color w:val="1F6F4A"/>
                <w:sz w:val="44"/>
                <w:szCs w:val="44"/>
              </w:rPr>
              <w:t xml:space="preserve">◈</w:t>
            </w:r>
          </w:p>
          <w:p>
            <w:pPr>
              <w:spacing w:before="100"/>
              <w:jc w:val="center"/>
            </w:pPr>
            <w:r>
              <w:rPr>
                <w:rFonts w:ascii="Calibri" w:cs="Calibri" w:eastAsia="Calibri" w:hAnsi="Calibri"/>
                <w:b/>
                <w:bCs/>
                <w:color w:val="173F32"/>
                <w:sz w:val="19"/>
                <w:szCs w:val="19"/>
              </w:rPr>
              <w:t xml:space="preserve">ESPACIO RESERVADO PARA IMAGEN / DISEÑO</w:t>
            </w:r>
          </w:p>
          <w:p>
            <w:pPr>
              <w:spacing w:after="616" w:before="90"/>
              <w:ind w:left="900" w:right="900"/>
              <w:jc w:val="center"/>
            </w:pPr>
            <w:r>
              <w:rPr>
                <w:rFonts w:ascii="Calibri" w:cs="Calibri" w:eastAsia="Calibri" w:hAnsi="Calibri"/>
                <w:i/>
                <w:iCs/>
                <w:color w:val="5B5B5B"/>
                <w:sz w:val="18"/>
                <w:szCs w:val="18"/>
              </w:rPr>
              <w:t xml:space="preserve">Interacción entre el cliente móvil, el API Gateway, el microservicio de Reservas y Disponibilidad, y el microservicio de Pagos, mostrando el bloqueo temporal (5 minutos) y su liberación automática en caso de expiración.</w:t>
            </w:r>
          </w:p>
        </w:tc>
      </w:tr>
    </w:tbl>
    <w:p>
      <w:pPr>
        <w:spacing w:after="260" w:before="80"/>
        <w:jc w:val="center"/>
      </w:pPr>
      <w:r>
        <w:rPr>
          <w:rFonts w:ascii="Calibri" w:cs="Calibri" w:eastAsia="Calibri" w:hAnsi="Calibri"/>
          <w:i/>
          <w:iCs/>
          <w:color w:val="5B5B5B"/>
          <w:sz w:val="18"/>
          <w:szCs w:val="18"/>
        </w:rPr>
        <w:t xml:space="preserve">Figura P6. Diagrama de secuencia — reserva y bloqueo temporal de horario.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tcBorders>
              <w:top w:val="dashed" w:color="9BB8AC" w:sz="6"/>
              <w:left w:val="dashed" w:color="9BB8AC" w:sz="6"/>
              <w:bottom w:val="dashed" w:color="9BB8AC" w:sz="6"/>
              <w:right w:val="dashed" w:color="9BB8AC" w:sz="6"/>
            </w:tcBorders>
            <w:shd w:fill="F5F8F7" w:val="clear"/>
            <w:tcMar>
              <w:top w:type="dxa" w:w="260"/>
              <w:left w:type="dxa" w:w="260"/>
              <w:bottom w:type="dxa" w:w="260"/>
              <w:right w:type="dxa" w:w="260"/>
            </w:tcMar>
            <w:vAlign w:val="center"/>
          </w:tcPr>
          <w:p>
            <w:pPr>
              <w:spacing w:before="616"/>
              <w:jc w:val="center"/>
            </w:pPr>
            <w:r>
              <w:rPr>
                <w:rFonts w:ascii="Calibri" w:cs="Calibri" w:eastAsia="Calibri" w:hAnsi="Calibri"/>
                <w:color w:val="1F6F4A"/>
                <w:sz w:val="44"/>
                <w:szCs w:val="44"/>
              </w:rPr>
              <w:t xml:space="preserve">◈</w:t>
            </w:r>
          </w:p>
          <w:p>
            <w:pPr>
              <w:spacing w:before="100"/>
              <w:jc w:val="center"/>
            </w:pPr>
            <w:r>
              <w:rPr>
                <w:rFonts w:ascii="Calibri" w:cs="Calibri" w:eastAsia="Calibri" w:hAnsi="Calibri"/>
                <w:b/>
                <w:bCs/>
                <w:color w:val="173F32"/>
                <w:sz w:val="19"/>
                <w:szCs w:val="19"/>
              </w:rPr>
              <w:t xml:space="preserve">ESPACIO RESERVADO PARA IMAGEN / DISEÑO</w:t>
            </w:r>
          </w:p>
          <w:p>
            <w:pPr>
              <w:spacing w:after="616" w:before="90"/>
              <w:ind w:left="900" w:right="900"/>
              <w:jc w:val="center"/>
            </w:pPr>
            <w:r>
              <w:rPr>
                <w:rFonts w:ascii="Calibri" w:cs="Calibri" w:eastAsia="Calibri" w:hAnsi="Calibri"/>
                <w:i/>
                <w:iCs/>
                <w:color w:val="5B5B5B"/>
                <w:sz w:val="18"/>
                <w:szCs w:val="18"/>
              </w:rPr>
              <w:t xml:space="preserve">Interacción entre el microservicio de Pagos, la pasarela Culqi, el webhook de confirmación y la actualización del estado de la reserva y del saldo del centro deportivo.</w:t>
            </w:r>
          </w:p>
        </w:tc>
      </w:tr>
    </w:tbl>
    <w:p>
      <w:pPr>
        <w:spacing w:after="260" w:before="80"/>
        <w:jc w:val="center"/>
      </w:pPr>
      <w:r>
        <w:rPr>
          <w:rFonts w:ascii="Calibri" w:cs="Calibri" w:eastAsia="Calibri" w:hAnsi="Calibri"/>
          <w:i/>
          <w:iCs/>
          <w:color w:val="5B5B5B"/>
          <w:sz w:val="18"/>
          <w:szCs w:val="18"/>
        </w:rPr>
        <w:t xml:space="preserve">Figura P7. Diagrama de secuencia — cobro y liquidación con pasarela de pago.</w:t>
      </w:r>
    </w:p>
    <w:p>
      <w:pPr>
        <w:pStyle w:val="Heading3"/>
        <w:spacing w:after="120" w:before="260"/>
      </w:pPr>
      <w:r>
        <w:rPr>
          <w:rFonts w:ascii="Calibri" w:cs="Calibri" w:eastAsia="Calibri" w:hAnsi="Calibri"/>
          <w:b/>
          <w:bCs/>
          <w:color w:val="2C4A3E"/>
          <w:sz w:val="23"/>
          <w:szCs w:val="23"/>
        </w:rPr>
        <w:t xml:space="preserve">5.2.3 Modelo de Datos Detallado</w:t>
      </w:r>
    </w:p>
    <w:p>
      <w:pPr>
        <w:spacing w:after="160" w:line="276"/>
        <w:jc w:val="left"/>
      </w:pPr>
      <w:r>
        <w:rPr>
          <w:rFonts w:ascii="Calibri" w:cs="Calibri" w:eastAsia="Calibri" w:hAnsi="Calibri"/>
          <w:color w:val="232323"/>
          <w:sz w:val="21"/>
          <w:szCs w:val="21"/>
        </w:rPr>
        <w:t xml:space="preserve">El modelo entidad-relación detallado desarrolla, con atributos y cardinalidades, las siete entidades principales ya identificadas en la sección 7.3 del Plan de Negocios (Usuario, Centro deportivo, Cancha, Reserva, Pago, Campeonato, Reseña).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tcBorders>
              <w:top w:val="dashed" w:color="9BB8AC" w:sz="6"/>
              <w:left w:val="dashed" w:color="9BB8AC" w:sz="6"/>
              <w:bottom w:val="dashed" w:color="9BB8AC" w:sz="6"/>
              <w:right w:val="dashed" w:color="9BB8AC" w:sz="6"/>
            </w:tcBorders>
            <w:shd w:fill="F5F8F7" w:val="clear"/>
            <w:tcMar>
              <w:top w:type="dxa" w:w="260"/>
              <w:left w:type="dxa" w:w="260"/>
              <w:bottom w:type="dxa" w:w="260"/>
              <w:right w:type="dxa" w:w="260"/>
            </w:tcMar>
            <w:vAlign w:val="center"/>
          </w:tcPr>
          <w:p>
            <w:pPr>
              <w:spacing w:before="896"/>
              <w:jc w:val="center"/>
            </w:pPr>
            <w:r>
              <w:rPr>
                <w:rFonts w:ascii="Calibri" w:cs="Calibri" w:eastAsia="Calibri" w:hAnsi="Calibri"/>
                <w:color w:val="1F6F4A"/>
                <w:sz w:val="44"/>
                <w:szCs w:val="44"/>
              </w:rPr>
              <w:t xml:space="preserve">◈</w:t>
            </w:r>
          </w:p>
          <w:p>
            <w:pPr>
              <w:spacing w:before="100"/>
              <w:jc w:val="center"/>
            </w:pPr>
            <w:r>
              <w:rPr>
                <w:rFonts w:ascii="Calibri" w:cs="Calibri" w:eastAsia="Calibri" w:hAnsi="Calibri"/>
                <w:b/>
                <w:bCs/>
                <w:color w:val="173F32"/>
                <w:sz w:val="19"/>
                <w:szCs w:val="19"/>
              </w:rPr>
              <w:t xml:space="preserve">ESPACIO RESERVADO PARA IMAGEN / DISEÑO</w:t>
            </w:r>
          </w:p>
          <w:p>
            <w:pPr>
              <w:spacing w:after="896" w:before="90"/>
              <w:ind w:left="900" w:right="900"/>
              <w:jc w:val="center"/>
            </w:pPr>
            <w:r>
              <w:rPr>
                <w:rFonts w:ascii="Calibri" w:cs="Calibri" w:eastAsia="Calibri" w:hAnsi="Calibri"/>
                <w:i/>
                <w:iCs/>
                <w:color w:val="5B5B5B"/>
                <w:sz w:val="18"/>
                <w:szCs w:val="18"/>
              </w:rPr>
              <w:t xml:space="preserve">Diagrama entidad-relación con atributos, claves primarias/foráneas y cardinalidades entre Usuario, Centro deportivo, Cancha, Reserva, Pago, Campeonato, Equipo, Partido y Reseña.</w:t>
            </w:r>
          </w:p>
        </w:tc>
      </w:tr>
    </w:tbl>
    <w:p>
      <w:pPr>
        <w:spacing w:after="260" w:before="80"/>
        <w:jc w:val="center"/>
      </w:pPr>
      <w:r>
        <w:rPr>
          <w:rFonts w:ascii="Calibri" w:cs="Calibri" w:eastAsia="Calibri" w:hAnsi="Calibri"/>
          <w:i/>
          <w:iCs/>
          <w:color w:val="5B5B5B"/>
          <w:sz w:val="18"/>
          <w:szCs w:val="18"/>
        </w:rPr>
        <w:t xml:space="preserve">Figura P8. Modelo entidad-relación detallado de la base de datos transaccional (PostgreSQL).</w:t>
      </w:r>
    </w:p>
    <w:p>
      <w:pPr>
        <w:pStyle w:val="Heading3"/>
        <w:spacing w:after="120" w:before="260"/>
      </w:pPr>
      <w:r>
        <w:rPr>
          <w:rFonts w:ascii="Calibri" w:cs="Calibri" w:eastAsia="Calibri" w:hAnsi="Calibri"/>
          <w:b/>
          <w:bCs/>
          <w:color w:val="2C4A3E"/>
          <w:sz w:val="23"/>
          <w:szCs w:val="23"/>
        </w:rPr>
        <w:t xml:space="preserve">5.2.4 Especificación de Contratos de API</w:t>
      </w:r>
    </w:p>
    <w:p>
      <w:pPr>
        <w:spacing w:after="160" w:line="276"/>
        <w:jc w:val="left"/>
      </w:pPr>
      <w:r>
        <w:rPr>
          <w:rFonts w:ascii="Calibri" w:cs="Calibri" w:eastAsia="Calibri" w:hAnsi="Calibri"/>
          <w:color w:val="232323"/>
          <w:sz w:val="21"/>
          <w:szCs w:val="21"/>
        </w:rPr>
        <w:t xml:space="preserve">Se adopta un enfoque </w:t>
      </w:r>
      <w:r>
        <w:rPr>
          <w:rFonts w:ascii="Calibri" w:cs="Calibri" w:eastAsia="Calibri" w:hAnsi="Calibri"/>
          <w:b/>
          <w:bCs/>
          <w:color w:val="232323"/>
          <w:sz w:val="21"/>
          <w:szCs w:val="21"/>
        </w:rPr>
        <w:t xml:space="preserve">API-first</w:t>
      </w:r>
      <w:r>
        <w:rPr>
          <w:rFonts w:ascii="Calibri" w:cs="Calibri" w:eastAsia="Calibri" w:hAnsi="Calibri"/>
          <w:color w:val="232323"/>
          <w:sz w:val="21"/>
          <w:szCs w:val="21"/>
        </w:rPr>
        <w:t xml:space="preserve">: el contrato de cada endpoint se especifica y se revisa con el equipo antes de iniciar su implementación, utilizando el estándar abierto OpenAPI (Swagger). Esto permite que el equipo de frontend (aplicación móvil y web) trabaje en paralelo al backend, consumiendo un contrato simulado (mock) mientras el servicio real se desarrolla.</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3024"/>
        <w:gridCol w:w="1512"/>
        <w:gridCol w:w="4536"/>
      </w:tblGrid>
      <w:tr>
        <w:trPr>
          <w:cantSplit/>
          <w:tblHeader/>
        </w:trPr>
        <w:tc>
          <w:tcPr>
            <w:tcW w:type="dxa" w:w="3024"/>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Endpoint (ejemplo)</w:t>
            </w:r>
          </w:p>
        </w:tc>
        <w:tc>
          <w:tcPr>
            <w:tcW w:type="dxa" w:w="1512"/>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Método</w:t>
            </w:r>
          </w:p>
        </w:tc>
        <w:tc>
          <w:tcPr>
            <w:tcW w:type="dxa" w:w="4536"/>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Descripción</w:t>
            </w:r>
          </w:p>
        </w:tc>
      </w:tr>
      <w:tr>
        <w:trPr>
          <w:cantSplit/>
        </w:trPr>
        <w:tc>
          <w:tcPr>
            <w:tcW w:type="dxa" w:w="302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/v1/canchas/buscar</w:t>
            </w:r>
          </w:p>
        </w:tc>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GET</w:t>
            </w:r>
          </w:p>
        </w:tc>
        <w:tc>
          <w:tcPr>
            <w:tcW w:type="dxa" w:w="453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Búsqueda de canchas con filtros combinados de deporte, ubicación, fecha y precio</w:t>
            </w:r>
          </w:p>
        </w:tc>
      </w:tr>
      <w:tr>
        <w:trPr>
          <w:cantSplit/>
        </w:trPr>
        <w:tc>
          <w:tcPr>
            <w:tcW w:type="dxa" w:w="302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/v1/reservas</w:t>
            </w:r>
          </w:p>
        </w:tc>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POST</w:t>
            </w:r>
          </w:p>
        </w:tc>
        <w:tc>
          <w:tcPr>
            <w:tcW w:type="dxa" w:w="453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Creación de una reserva con bloqueo temporal del horario seleccionado</w:t>
            </w:r>
          </w:p>
        </w:tc>
      </w:tr>
      <w:tr>
        <w:trPr>
          <w:cantSplit/>
        </w:trPr>
        <w:tc>
          <w:tcPr>
            <w:tcW w:type="dxa" w:w="302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/v1/pagos/webhook</w:t>
            </w:r>
          </w:p>
        </w:tc>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POST</w:t>
            </w:r>
          </w:p>
        </w:tc>
        <w:tc>
          <w:tcPr>
            <w:tcW w:type="dxa" w:w="453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Recepción de notificaciones asíncronas de confirmación de pago desde la pasarela</w:t>
            </w:r>
          </w:p>
        </w:tc>
      </w:tr>
      <w:tr>
        <w:trPr>
          <w:cantSplit/>
        </w:trPr>
        <w:tc>
          <w:tcPr>
            <w:tcW w:type="dxa" w:w="302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/v1/campeonatos/{id}/cuadro</w:t>
            </w:r>
          </w:p>
        </w:tc>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POST</w:t>
            </w:r>
          </w:p>
        </w:tc>
        <w:tc>
          <w:tcPr>
            <w:tcW w:type="dxa" w:w="453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Generación automática del cuadro de competencia a partir de los equipos inscritos</w:t>
            </w:r>
          </w:p>
        </w:tc>
      </w:tr>
      <w:tr>
        <w:trPr>
          <w:cantSplit/>
        </w:trPr>
        <w:tc>
          <w:tcPr>
            <w:tcW w:type="dxa" w:w="302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/v1/centros/{id}/reportes</w:t>
            </w:r>
          </w:p>
        </w:tc>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GET</w:t>
            </w:r>
          </w:p>
        </w:tc>
        <w:tc>
          <w:tcPr>
            <w:tcW w:type="dxa" w:w="453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Consulta de reporte de ocupación e ingresos de un centro deportivo</w:t>
            </w:r>
          </w:p>
        </w:tc>
      </w:tr>
    </w:tbl>
    <w:p>
      <w:pPr>
        <w:spacing w:after="160"/>
      </w:pPr>
    </w:p>
    <w:p>
      <w:pPr>
        <w:pStyle w:val="Heading3"/>
        <w:spacing w:after="120" w:before="260"/>
      </w:pPr>
      <w:r>
        <w:rPr>
          <w:rFonts w:ascii="Calibri" w:cs="Calibri" w:eastAsia="Calibri" w:hAnsi="Calibri"/>
          <w:b/>
          <w:bCs/>
          <w:color w:val="2C4A3E"/>
          <w:sz w:val="23"/>
          <w:szCs w:val="23"/>
        </w:rPr>
        <w:t xml:space="preserve">5.2.5 Comunicación entre Microservicios</w:t>
      </w:r>
    </w:p>
    <w:p>
      <w:pPr>
        <w:spacing w:after="160" w:line="276"/>
        <w:jc w:val="left"/>
      </w:pPr>
      <w:r>
        <w:rPr>
          <w:rFonts w:ascii="Calibri" w:cs="Calibri" w:eastAsia="Calibri" w:hAnsi="Calibri"/>
          <w:color w:val="232323"/>
          <w:sz w:val="21"/>
          <w:szCs w:val="21"/>
        </w:rPr>
        <w:t xml:space="preserve">La mayor parte de la comunicación entre microservicios se resuelve de forma síncrona vía REST a través del API Gateway. Para las operaciones que no requieren respuesta inmediata —en particular el envío de notificaciones tras un cambio de estado de reserva o pago— se introduce un mecanismo de mensajería asíncrona basado en colas, que desacopla al microservicio de Notificaciones de los tiempos de respuesta de los proveedores externos (WhatsApp Business API, Firebase Cloud Messaging), evitando que una lentitud de un proveedor externo afecte el tiempo de respuesta de la reserva o el pago.</w:t>
      </w:r>
    </w:p>
    <w:p>
      <w:pPr>
        <w:pStyle w:val="Heading2"/>
        <w:spacing w:after="160" w:before="340"/>
      </w:pPr>
      <w:r>
        <w:rPr>
          <w:rFonts w:ascii="Calibri" w:cs="Calibri" w:eastAsia="Calibri" w:hAnsi="Calibri"/>
          <w:b/>
          <w:bCs/>
          <w:color w:val="1F6F4A"/>
          <w:sz w:val="26"/>
          <w:szCs w:val="26"/>
        </w:rPr>
        <w:t xml:space="preserve">5.3 Validación de Diseño</w:t>
      </w:r>
    </w:p>
    <w:p>
      <w:pPr>
        <w:spacing w:after="160" w:line="276"/>
        <w:jc w:val="left"/>
      </w:pPr>
      <w:r>
        <w:rPr>
          <w:rFonts w:ascii="Calibri" w:cs="Calibri" w:eastAsia="Calibri" w:hAnsi="Calibri"/>
          <w:color w:val="232323"/>
          <w:sz w:val="21"/>
          <w:szCs w:val="21"/>
        </w:rPr>
        <w:t xml:space="preserve">Al cierre de la Fase 2, el Product Owner y el Scrum Master realizan una revisión conjunta de diseño (design review) que verifica tres criterios antes de dar paso a la Fase 3: (a) el prototipo navegable cubre el 100 % de las historias de usuario clasificadas como Must have; (b) los contratos de API han sido revisados y aprobados por el equipo de desarrollo; y (c) el modelo de datos ha sido validado contra los requerimientos no funcionales de integridad transaccional (sección 4.3.2).</w:t>
      </w:r>
    </w:p>
    <w:p>
      <w:pPr>
        <w:pStyle w:val="Heading2"/>
        <w:spacing w:after="160" w:before="340"/>
      </w:pPr>
      <w:r>
        <w:rPr>
          <w:rFonts w:ascii="Calibri" w:cs="Calibri" w:eastAsia="Calibri" w:hAnsi="Calibri"/>
          <w:b/>
          <w:bCs/>
          <w:color w:val="1F6F4A"/>
          <w:sz w:val="26"/>
          <w:szCs w:val="26"/>
        </w:rPr>
        <w:t xml:space="preserve">5.4 Entregables de la Fase</w:t>
      </w:r>
    </w:p>
    <w:p>
      <w:pPr>
        <w:pStyle w:val="ListParagraph"/>
        <w:numPr>
          <w:ilvl w:val="0"/>
          <w:numId w:val="2"/>
        </w:numPr>
        <w:spacing w:after="90" w:line="264"/>
      </w:pPr>
      <w:r>
        <w:rPr>
          <w:rFonts w:ascii="Calibri" w:cs="Calibri" w:eastAsia="Calibri" w:hAnsi="Calibri"/>
          <w:color w:val="232323"/>
          <w:sz w:val="21"/>
          <w:szCs w:val="21"/>
        </w:rPr>
        <w:t xml:space="preserve">Prototipo navegable de alta fidelidad en Figma, validado con usuarios piloto de cada arquetipo.</w:t>
      </w:r>
    </w:p>
    <w:p>
      <w:pPr>
        <w:pStyle w:val="ListParagraph"/>
        <w:numPr>
          <w:ilvl w:val="0"/>
          <w:numId w:val="2"/>
        </w:numPr>
        <w:spacing w:after="90" w:line="264"/>
      </w:pPr>
      <w:r>
        <w:rPr>
          <w:rFonts w:ascii="Calibri" w:cs="Calibri" w:eastAsia="Calibri" w:hAnsi="Calibri"/>
          <w:color w:val="232323"/>
          <w:sz w:val="21"/>
          <w:szCs w:val="21"/>
        </w:rPr>
        <w:t xml:space="preserve">Sistema de diseño documentado (paleta, tipografía, biblioteca de componentes).</w:t>
      </w:r>
    </w:p>
    <w:p>
      <w:pPr>
        <w:pStyle w:val="ListParagraph"/>
        <w:numPr>
          <w:ilvl w:val="0"/>
          <w:numId w:val="2"/>
        </w:numPr>
        <w:spacing w:after="90" w:line="264"/>
      </w:pPr>
      <w:r>
        <w:rPr>
          <w:rFonts w:ascii="Calibri" w:cs="Calibri" w:eastAsia="Calibri" w:hAnsi="Calibri"/>
          <w:color w:val="232323"/>
          <w:sz w:val="21"/>
          <w:szCs w:val="21"/>
        </w:rPr>
        <w:t xml:space="preserve">Diagrama de arquitectura de implementación y diagramas de secuencia de los flujos críticos.</w:t>
      </w:r>
    </w:p>
    <w:p>
      <w:pPr>
        <w:pStyle w:val="ListParagraph"/>
        <w:numPr>
          <w:ilvl w:val="0"/>
          <w:numId w:val="2"/>
        </w:numPr>
        <w:spacing w:after="90" w:line="264"/>
      </w:pPr>
      <w:r>
        <w:rPr>
          <w:rFonts w:ascii="Calibri" w:cs="Calibri" w:eastAsia="Calibri" w:hAnsi="Calibri"/>
          <w:color w:val="232323"/>
          <w:sz w:val="21"/>
          <w:szCs w:val="21"/>
        </w:rPr>
        <w:t xml:space="preserve">Modelo entidad-relación detallado de la base de datos transaccional.</w:t>
      </w:r>
    </w:p>
    <w:p>
      <w:pPr>
        <w:pStyle w:val="ListParagraph"/>
        <w:numPr>
          <w:ilvl w:val="0"/>
          <w:numId w:val="2"/>
        </w:numPr>
        <w:spacing w:after="90" w:line="264"/>
      </w:pPr>
      <w:r>
        <w:rPr>
          <w:rFonts w:ascii="Calibri" w:cs="Calibri" w:eastAsia="Calibri" w:hAnsi="Calibri"/>
          <w:color w:val="232323"/>
          <w:sz w:val="21"/>
          <w:szCs w:val="21"/>
        </w:rPr>
        <w:t xml:space="preserve">Especificación OpenAPI de los contratos de API prioritarios.</w:t>
      </w:r>
    </w:p>
    <w:p>
      <w:pPr>
        <w:pStyle w:val="Heading1"/>
        <w:pageBreakBefore/>
        <w:pBdr>
          <w:bottom w:val="single" w:color="1F6F4A" w:sz="14" w:space="8"/>
        </w:pBdr>
        <w:spacing w:after="260" w:before="0"/>
      </w:pPr>
      <w:r>
        <w:rPr>
          <w:rFonts w:ascii="Calibri" w:cs="Calibri" w:eastAsia="Calibri" w:hAnsi="Calibri"/>
          <w:b/>
          <w:bCs/>
          <w:color w:val="173F32"/>
          <w:sz w:val="32"/>
          <w:szCs w:val="32"/>
        </w:rPr>
        <w:t xml:space="preserve">6. Fase 3 — Preparación del Entorno de Desarrollo (Sprint 0)</w:t>
      </w:r>
    </w:p>
    <w:p>
      <w:pPr>
        <w:spacing w:after="160" w:line="276"/>
        <w:jc w:val="left"/>
      </w:pPr>
      <w:r>
        <w:rPr>
          <w:rFonts w:ascii="Calibri" w:cs="Calibri" w:eastAsia="Calibri" w:hAnsi="Calibri"/>
          <w:color w:val="232323"/>
          <w:sz w:val="21"/>
          <w:szCs w:val="21"/>
        </w:rPr>
        <w:t xml:space="preserve">El «Sprint 0» es una práctica común en la adopción de Scrum para proyectos que parten de cero: un sprint de duración similar a los siguientes (dos semanas), pero cuyo objetivo no es entregar una historia de usuario orientada al cliente final, sino dejar preparada toda la base técnica que permitirá al equipo comenzar a integrar código funcional desde el primer día del Sprint 1. Omitir esta fase suele traducirse en los primeros sprints de construcción en fricción operativa (entornos inconsistentes, despliegues manuales, ausencia de estándares) que reduce la velocidad real del equipo.</w:t>
      </w:r>
    </w:p>
    <w:p>
      <w:pPr>
        <w:pStyle w:val="Heading2"/>
        <w:spacing w:after="160" w:before="340"/>
      </w:pPr>
      <w:r>
        <w:rPr>
          <w:rFonts w:ascii="Calibri" w:cs="Calibri" w:eastAsia="Calibri" w:hAnsi="Calibri"/>
          <w:b/>
          <w:bCs/>
          <w:color w:val="1F6F4A"/>
          <w:sz w:val="26"/>
          <w:szCs w:val="26"/>
        </w:rPr>
        <w:t xml:space="preserve">6.1 Control de Versiones y Estrategia de Ramificación</w:t>
      </w:r>
    </w:p>
    <w:p>
      <w:pPr>
        <w:spacing w:after="160" w:line="276"/>
        <w:jc w:val="left"/>
      </w:pPr>
      <w:r>
        <w:rPr>
          <w:rFonts w:ascii="Calibri" w:cs="Calibri" w:eastAsia="Calibri" w:hAnsi="Calibri"/>
          <w:color w:val="232323"/>
          <w:sz w:val="21"/>
          <w:szCs w:val="21"/>
        </w:rPr>
        <w:t xml:space="preserve">Se adopta Git como sistema de control de versiones, alojado en GitHub, con una estrategia de ramificación de tipo </w:t>
      </w:r>
      <w:r>
        <w:rPr>
          <w:rFonts w:ascii="Calibri" w:cs="Calibri" w:eastAsia="Calibri" w:hAnsi="Calibri"/>
          <w:b/>
          <w:bCs/>
          <w:color w:val="232323"/>
          <w:sz w:val="21"/>
          <w:szCs w:val="21"/>
        </w:rPr>
        <w:t xml:space="preserve">trunk-based development simplificado</w:t>
      </w:r>
      <w:r>
        <w:rPr>
          <w:rFonts w:ascii="Calibri" w:cs="Calibri" w:eastAsia="Calibri" w:hAnsi="Calibri"/>
          <w:color w:val="232323"/>
          <w:sz w:val="21"/>
          <w:szCs w:val="21"/>
        </w:rPr>
        <w:t xml:space="preserve">, adecuada para un equipo pequeño que necesita minimizar la sobrecarga de gestión de ramas de larga duración:</w:t>
      </w:r>
    </w:p>
    <w:p>
      <w:pPr>
        <w:pStyle w:val="ListParagraph"/>
        <w:numPr>
          <w:ilvl w:val="0"/>
          <w:numId w:val="2"/>
        </w:numPr>
        <w:spacing w:after="90" w:line="264"/>
      </w:pPr>
      <w:r>
        <w:rPr>
          <w:rFonts w:ascii="Calibri" w:cs="Calibri" w:eastAsia="Calibri" w:hAnsi="Calibri"/>
          <w:color w:val="232323"/>
          <w:sz w:val="21"/>
          <w:szCs w:val="21"/>
        </w:rPr>
        <w:t xml:space="preserve">La rama `main` refleja siempre el estado desplegable a producción; ningún commit se integra directamente a ella sin pasar por revisión.</w:t>
      </w:r>
    </w:p>
    <w:p>
      <w:pPr>
        <w:pStyle w:val="ListParagraph"/>
        <w:numPr>
          <w:ilvl w:val="0"/>
          <w:numId w:val="2"/>
        </w:numPr>
        <w:spacing w:after="90" w:line="264"/>
      </w:pPr>
      <w:r>
        <w:rPr>
          <w:rFonts w:ascii="Calibri" w:cs="Calibri" w:eastAsia="Calibri" w:hAnsi="Calibri"/>
          <w:color w:val="232323"/>
          <w:sz w:val="21"/>
          <w:szCs w:val="21"/>
        </w:rPr>
        <w:t xml:space="preserve">Cada historia de usuario se desarrolla en una rama de corta duración (`feature/HU-07-busqueda-canchas`), que se integra a `main` mediante un pull request en un plazo objetivo de 1 a 3 días, evitando divergencias prolongadas.</w:t>
      </w:r>
    </w:p>
    <w:p>
      <w:pPr>
        <w:pStyle w:val="ListParagraph"/>
        <w:numPr>
          <w:ilvl w:val="0"/>
          <w:numId w:val="2"/>
        </w:numPr>
        <w:spacing w:after="90" w:line="264"/>
      </w:pPr>
      <w:r>
        <w:rPr>
          <w:rFonts w:ascii="Calibri" w:cs="Calibri" w:eastAsia="Calibri" w:hAnsi="Calibri"/>
          <w:color w:val="232323"/>
          <w:sz w:val="21"/>
          <w:szCs w:val="21"/>
        </w:rPr>
        <w:t xml:space="preserve">Los mensajes de commit siguen la convención </w:t>
      </w:r>
      <w:r>
        <w:rPr>
          <w:rFonts w:ascii="Calibri" w:cs="Calibri" w:eastAsia="Calibri" w:hAnsi="Calibri"/>
          <w:b/>
          <w:bCs/>
          <w:color w:val="232323"/>
          <w:sz w:val="21"/>
          <w:szCs w:val="21"/>
        </w:rPr>
        <w:t xml:space="preserve">Conventional Commits</w:t>
      </w:r>
      <w:r>
        <w:rPr>
          <w:rFonts w:ascii="Calibri" w:cs="Calibri" w:eastAsia="Calibri" w:hAnsi="Calibri"/>
          <w:color w:val="232323"/>
          <w:sz w:val="21"/>
          <w:szCs w:val="21"/>
        </w:rPr>
        <w:t xml:space="preserve"> (`feat:`, `fix:`, `refactor:`, `test:`, `docs:`), lo que permite generar de forma automatizada el historial de cambios (changelog) descrito en la sección 10.3.</w:t>
      </w:r>
    </w:p>
    <w:p>
      <w:pPr>
        <w:pStyle w:val="ListParagraph"/>
        <w:numPr>
          <w:ilvl w:val="0"/>
          <w:numId w:val="2"/>
        </w:numPr>
        <w:spacing w:after="90" w:line="264"/>
      </w:pPr>
      <w:r>
        <w:rPr>
          <w:rFonts w:ascii="Calibri" w:cs="Calibri" w:eastAsia="Calibri" w:hAnsi="Calibri"/>
          <w:color w:val="232323"/>
          <w:sz w:val="21"/>
          <w:szCs w:val="21"/>
        </w:rPr>
        <w:t xml:space="preserve">Los parches correctivos urgentes en producción (hotfix) se ramifican directamente desde `main`, siguiendo el proceso acelerado descrito en la sección 10.4.1.</w:t>
      </w:r>
    </w:p>
    <w:p>
      <w:pPr>
        <w:pStyle w:val="Heading2"/>
        <w:spacing w:after="160" w:before="340"/>
      </w:pPr>
      <w:r>
        <w:rPr>
          <w:rFonts w:ascii="Calibri" w:cs="Calibri" w:eastAsia="Calibri" w:hAnsi="Calibri"/>
          <w:b/>
          <w:bCs/>
          <w:color w:val="1F6F4A"/>
          <w:sz w:val="26"/>
          <w:szCs w:val="26"/>
        </w:rPr>
        <w:t xml:space="preserve">6.2 Entornos de Ejecución</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1512"/>
        <w:gridCol w:w="3024"/>
        <w:gridCol w:w="4536"/>
      </w:tblGrid>
      <w:tr>
        <w:trPr>
          <w:cantSplit/>
          <w:tblHeader/>
        </w:trPr>
        <w:tc>
          <w:tcPr>
            <w:tcW w:type="dxa" w:w="1512"/>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Entorno</w:t>
            </w:r>
          </w:p>
        </w:tc>
        <w:tc>
          <w:tcPr>
            <w:tcW w:type="dxa" w:w="3024"/>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Propósito</w:t>
            </w:r>
          </w:p>
        </w:tc>
        <w:tc>
          <w:tcPr>
            <w:tcW w:type="dxa" w:w="4536"/>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Características</w:t>
            </w:r>
          </w:p>
        </w:tc>
      </w:tr>
      <w:tr>
        <w:trPr>
          <w:cantSplit/>
        </w:trPr>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Desarrollo local</w:t>
            </w:r>
          </w:p>
        </w:tc>
        <w:tc>
          <w:tcPr>
            <w:tcW w:type="dxa" w:w="302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Trabajo individual de cada desarrollador(a)</w:t>
            </w:r>
          </w:p>
        </w:tc>
        <w:tc>
          <w:tcPr>
            <w:tcW w:type="dxa" w:w="453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Contenedores Docker orquestados con Docker Compose; réplica ligera de los servicios y bases de datos</w:t>
            </w:r>
          </w:p>
        </w:tc>
      </w:tr>
      <w:tr>
        <w:trPr>
          <w:cantSplit/>
        </w:trPr>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Integración / QA</w:t>
            </w:r>
          </w:p>
        </w:tc>
        <w:tc>
          <w:tcPr>
            <w:tcW w:type="dxa" w:w="302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Ejecución automática de pruebas en cada pull request</w:t>
            </w:r>
          </w:p>
        </w:tc>
        <w:tc>
          <w:tcPr>
            <w:tcW w:type="dxa" w:w="453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 levanta y destruye de forma efímera en cada ejecución del pipeline CI/CD</w:t>
            </w:r>
          </w:p>
        </w:tc>
      </w:tr>
      <w:tr>
        <w:trPr>
          <w:cantSplit/>
        </w:trPr>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Staging (preproducción)</w:t>
            </w:r>
          </w:p>
        </w:tc>
        <w:tc>
          <w:tcPr>
            <w:tcW w:type="dxa" w:w="302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Validación funcional del incremento antes de su liberación</w:t>
            </w:r>
          </w:p>
        </w:tc>
        <w:tc>
          <w:tcPr>
            <w:tcW w:type="dxa" w:w="453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Configuración equivalente a producción, con datos de prueba anonimizados; usado en el Sprint Review</w:t>
            </w:r>
          </w:p>
        </w:tc>
      </w:tr>
      <w:tr>
        <w:trPr>
          <w:cantSplit/>
        </w:trPr>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Producción</w:t>
            </w:r>
          </w:p>
        </w:tc>
        <w:tc>
          <w:tcPr>
            <w:tcW w:type="dxa" w:w="302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Entorno que utilizan los usuarios reales</w:t>
            </w:r>
          </w:p>
        </w:tc>
        <w:tc>
          <w:tcPr>
            <w:tcW w:type="dxa" w:w="453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Infraestructura gestionada según la sección 7.1.6 del Plan de Negocios, con monitoreo activo (sección 10.5)</w:t>
            </w:r>
          </w:p>
        </w:tc>
      </w:tr>
    </w:tbl>
    <w:p>
      <w:pPr>
        <w:spacing w:after="160"/>
      </w:pPr>
    </w:p>
    <w:p>
      <w:pPr>
        <w:pStyle w:val="Heading2"/>
        <w:spacing w:after="160" w:before="340"/>
      </w:pPr>
      <w:r>
        <w:rPr>
          <w:rFonts w:ascii="Calibri" w:cs="Calibri" w:eastAsia="Calibri" w:hAnsi="Calibri"/>
          <w:b/>
          <w:bCs/>
          <w:color w:val="1F6F4A"/>
          <w:sz w:val="26"/>
          <w:szCs w:val="26"/>
        </w:rPr>
        <w:t xml:space="preserve">6.3 Pipeline de Integración y Despliegue Continuo (CI/CD)</w:t>
      </w:r>
    </w:p>
    <w:p>
      <w:pPr>
        <w:spacing w:after="160" w:line="276"/>
        <w:jc w:val="left"/>
      </w:pPr>
      <w:r>
        <w:rPr>
          <w:rFonts w:ascii="Calibri" w:cs="Calibri" w:eastAsia="Calibri" w:hAnsi="Calibri"/>
          <w:color w:val="232323"/>
          <w:sz w:val="21"/>
          <w:szCs w:val="21"/>
        </w:rPr>
        <w:t xml:space="preserve">Sobre la base de GitHub Actions, ya seleccionado en la sección 7.1.6 del Plan de Negocios, se configura un pipeline automatizado que se ejecuta en cada pull request y en cada integración a la rama principal:</w:t>
      </w:r>
    </w:p>
    <w:p>
      <w:pPr>
        <w:pStyle w:val="ListParagraph"/>
        <w:numPr>
          <w:ilvl w:val="0"/>
          <w:numId w:val="3"/>
        </w:numPr>
        <w:spacing w:after="90" w:line="264"/>
      </w:pPr>
      <w:r>
        <w:rPr>
          <w:rFonts w:ascii="Calibri" w:cs="Calibri" w:eastAsia="Calibri" w:hAnsi="Calibri"/>
          <w:b/>
          <w:bCs/>
          <w:color w:val="232323"/>
          <w:sz w:val="21"/>
          <w:szCs w:val="21"/>
        </w:rPr>
        <w:t xml:space="preserve">Análisis estático (lint): </w:t>
      </w:r>
      <w:r>
        <w:rPr>
          <w:rFonts w:ascii="Calibri" w:cs="Calibri" w:eastAsia="Calibri" w:hAnsi="Calibri"/>
          <w:color w:val="232323"/>
          <w:sz w:val="21"/>
          <w:szCs w:val="21"/>
        </w:rPr>
        <w:t xml:space="preserve">verificación automática del estilo de código y detección temprana de errores comunes.</w:t>
      </w:r>
    </w:p>
    <w:p>
      <w:pPr>
        <w:pStyle w:val="ListParagraph"/>
        <w:numPr>
          <w:ilvl w:val="0"/>
          <w:numId w:val="3"/>
        </w:numPr>
        <w:spacing w:after="90" w:line="264"/>
      </w:pPr>
      <w:r>
        <w:rPr>
          <w:rFonts w:ascii="Calibri" w:cs="Calibri" w:eastAsia="Calibri" w:hAnsi="Calibri"/>
          <w:b/>
          <w:bCs/>
          <w:color w:val="232323"/>
          <w:sz w:val="21"/>
          <w:szCs w:val="21"/>
        </w:rPr>
        <w:t xml:space="preserve">Compilación (build): </w:t>
      </w:r>
      <w:r>
        <w:rPr>
          <w:rFonts w:ascii="Calibri" w:cs="Calibri" w:eastAsia="Calibri" w:hAnsi="Calibri"/>
          <w:color w:val="232323"/>
          <w:sz w:val="21"/>
          <w:szCs w:val="21"/>
        </w:rPr>
        <w:t xml:space="preserve">construcción de los artefactos de cada microservicio y de las aplicaciones cliente.</w:t>
      </w:r>
    </w:p>
    <w:p>
      <w:pPr>
        <w:pStyle w:val="ListParagraph"/>
        <w:numPr>
          <w:ilvl w:val="0"/>
          <w:numId w:val="3"/>
        </w:numPr>
        <w:spacing w:after="90" w:line="264"/>
      </w:pPr>
      <w:r>
        <w:rPr>
          <w:rFonts w:ascii="Calibri" w:cs="Calibri" w:eastAsia="Calibri" w:hAnsi="Calibri"/>
          <w:b/>
          <w:bCs/>
          <w:color w:val="232323"/>
          <w:sz w:val="21"/>
          <w:szCs w:val="21"/>
        </w:rPr>
        <w:t xml:space="preserve">Pruebas unitarias e integración: </w:t>
      </w:r>
      <w:r>
        <w:rPr>
          <w:rFonts w:ascii="Calibri" w:cs="Calibri" w:eastAsia="Calibri" w:hAnsi="Calibri"/>
          <w:color w:val="232323"/>
          <w:sz w:val="21"/>
          <w:szCs w:val="21"/>
        </w:rPr>
        <w:t xml:space="preserve">ejecución de la batería de pruebas automatizadas (sección 8.2), bloqueando el pull request si alguna falla.</w:t>
      </w:r>
    </w:p>
    <w:p>
      <w:pPr>
        <w:pStyle w:val="ListParagraph"/>
        <w:numPr>
          <w:ilvl w:val="0"/>
          <w:numId w:val="3"/>
        </w:numPr>
        <w:spacing w:after="90" w:line="264"/>
      </w:pPr>
      <w:r>
        <w:rPr>
          <w:rFonts w:ascii="Calibri" w:cs="Calibri" w:eastAsia="Calibri" w:hAnsi="Calibri"/>
          <w:b/>
          <w:bCs/>
          <w:color w:val="232323"/>
          <w:sz w:val="21"/>
          <w:szCs w:val="21"/>
        </w:rPr>
        <w:t xml:space="preserve">Análisis estático de seguridad (SAST) y de dependencias: </w:t>
      </w:r>
      <w:r>
        <w:rPr>
          <w:rFonts w:ascii="Calibri" w:cs="Calibri" w:eastAsia="Calibri" w:hAnsi="Calibri"/>
          <w:color w:val="232323"/>
          <w:sz w:val="21"/>
          <w:szCs w:val="21"/>
        </w:rPr>
        <w:t xml:space="preserve">detección de vulnerabilidades conocidas en librerías de terceros.</w:t>
      </w:r>
    </w:p>
    <w:p>
      <w:pPr>
        <w:pStyle w:val="ListParagraph"/>
        <w:numPr>
          <w:ilvl w:val="0"/>
          <w:numId w:val="3"/>
        </w:numPr>
        <w:spacing w:after="90" w:line="264"/>
      </w:pPr>
      <w:r>
        <w:rPr>
          <w:rFonts w:ascii="Calibri" w:cs="Calibri" w:eastAsia="Calibri" w:hAnsi="Calibri"/>
          <w:b/>
          <w:bCs/>
          <w:color w:val="232323"/>
          <w:sz w:val="21"/>
          <w:szCs w:val="21"/>
        </w:rPr>
        <w:t xml:space="preserve">Despliegue automático a Staging: </w:t>
      </w:r>
      <w:r>
        <w:rPr>
          <w:rFonts w:ascii="Calibri" w:cs="Calibri" w:eastAsia="Calibri" w:hAnsi="Calibri"/>
          <w:color w:val="232323"/>
          <w:sz w:val="21"/>
          <w:szCs w:val="21"/>
        </w:rPr>
        <w:t xml:space="preserve">tras la aprobación del pull request y su integración a `main`.</w:t>
      </w:r>
    </w:p>
    <w:p>
      <w:pPr>
        <w:pStyle w:val="ListParagraph"/>
        <w:numPr>
          <w:ilvl w:val="0"/>
          <w:numId w:val="3"/>
        </w:numPr>
        <w:spacing w:after="90" w:line="264"/>
      </w:pPr>
      <w:r>
        <w:rPr>
          <w:rFonts w:ascii="Calibri" w:cs="Calibri" w:eastAsia="Calibri" w:hAnsi="Calibri"/>
          <w:b/>
          <w:bCs/>
          <w:color w:val="232323"/>
          <w:sz w:val="21"/>
          <w:szCs w:val="21"/>
        </w:rPr>
        <w:t xml:space="preserve">Aprobación manual (gate): </w:t>
      </w:r>
      <w:r>
        <w:rPr>
          <w:rFonts w:ascii="Calibri" w:cs="Calibri" w:eastAsia="Calibri" w:hAnsi="Calibri"/>
          <w:color w:val="232323"/>
          <w:sz w:val="21"/>
          <w:szCs w:val="21"/>
        </w:rPr>
        <w:t xml:space="preserve">el Product Owner o el Scrum Master aprueba explícitamente el paso a producción.</w:t>
      </w:r>
    </w:p>
    <w:p>
      <w:pPr>
        <w:pStyle w:val="ListParagraph"/>
        <w:numPr>
          <w:ilvl w:val="0"/>
          <w:numId w:val="3"/>
        </w:numPr>
        <w:spacing w:after="90" w:line="264"/>
      </w:pPr>
      <w:r>
        <w:rPr>
          <w:rFonts w:ascii="Calibri" w:cs="Calibri" w:eastAsia="Calibri" w:hAnsi="Calibri"/>
          <w:b/>
          <w:bCs/>
          <w:color w:val="232323"/>
          <w:sz w:val="21"/>
          <w:szCs w:val="21"/>
        </w:rPr>
        <w:t xml:space="preserve">Despliegue a producción: </w:t>
      </w:r>
      <w:r>
        <w:rPr>
          <w:rFonts w:ascii="Calibri" w:cs="Calibri" w:eastAsia="Calibri" w:hAnsi="Calibri"/>
          <w:color w:val="232323"/>
          <w:sz w:val="21"/>
          <w:szCs w:val="21"/>
        </w:rPr>
        <w:t xml:space="preserve">siguiendo la estrategia descrita en la sección 9.1, con posibilidad de reversión automática (rollback) ante fallas.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tcBorders>
              <w:top w:val="dashed" w:color="9BB8AC" w:sz="6"/>
              <w:left w:val="dashed" w:color="9BB8AC" w:sz="6"/>
              <w:bottom w:val="dashed" w:color="9BB8AC" w:sz="6"/>
              <w:right w:val="dashed" w:color="9BB8AC" w:sz="6"/>
            </w:tcBorders>
            <w:shd w:fill="F5F8F7" w:val="clear"/>
            <w:tcMar>
              <w:top w:type="dxa" w:w="260"/>
              <w:left w:type="dxa" w:w="260"/>
              <w:bottom w:type="dxa" w:w="260"/>
              <w:right w:type="dxa" w:w="260"/>
            </w:tcMar>
            <w:vAlign w:val="center"/>
          </w:tcPr>
          <w:p>
            <w:pPr>
              <w:spacing w:before="420"/>
              <w:jc w:val="center"/>
            </w:pPr>
            <w:r>
              <w:rPr>
                <w:rFonts w:ascii="Calibri" w:cs="Calibri" w:eastAsia="Calibri" w:hAnsi="Calibri"/>
                <w:color w:val="1F6F4A"/>
                <w:sz w:val="44"/>
                <w:szCs w:val="44"/>
              </w:rPr>
              <w:t xml:space="preserve">◈</w:t>
            </w:r>
          </w:p>
          <w:p>
            <w:pPr>
              <w:spacing w:before="100"/>
              <w:jc w:val="center"/>
            </w:pPr>
            <w:r>
              <w:rPr>
                <w:rFonts w:ascii="Calibri" w:cs="Calibri" w:eastAsia="Calibri" w:hAnsi="Calibri"/>
                <w:b/>
                <w:bCs/>
                <w:color w:val="173F32"/>
                <w:sz w:val="19"/>
                <w:szCs w:val="19"/>
              </w:rPr>
              <w:t xml:space="preserve">ESPACIO RESERVADO PARA IMAGEN / DISEÑO</w:t>
            </w:r>
          </w:p>
          <w:p>
            <w:pPr>
              <w:spacing w:after="420" w:before="90"/>
              <w:ind w:left="900" w:right="900"/>
              <w:jc w:val="center"/>
            </w:pPr>
            <w:r>
              <w:rPr>
                <w:rFonts w:ascii="Calibri" w:cs="Calibri" w:eastAsia="Calibri" w:hAnsi="Calibri"/>
                <w:i/>
                <w:iCs/>
                <w:color w:val="5B5B5B"/>
                <w:sz w:val="18"/>
                <w:szCs w:val="18"/>
              </w:rPr>
              <w:t xml:space="preserve">Diagrama de flujo mostrando las siete etapas del pipeline, desde el pull request hasta el despliegue a producción, con los puntos de bloqueo automático (pruebas fallidas) y de aprobación manual señalados.</w:t>
            </w:r>
          </w:p>
        </w:tc>
      </w:tr>
    </w:tbl>
    <w:p>
      <w:pPr>
        <w:spacing w:after="260" w:before="80"/>
        <w:jc w:val="center"/>
      </w:pPr>
      <w:r>
        <w:rPr>
          <w:rFonts w:ascii="Calibri" w:cs="Calibri" w:eastAsia="Calibri" w:hAnsi="Calibri"/>
          <w:i/>
          <w:iCs/>
          <w:color w:val="5B5B5B"/>
          <w:sz w:val="18"/>
          <w:szCs w:val="18"/>
        </w:rPr>
        <w:t xml:space="preserve">Figura P9. Pipeline de integración y despliegue continuo (CI/CD).</w:t>
      </w:r>
    </w:p>
    <w:p>
      <w:pPr>
        <w:pStyle w:val="Heading2"/>
        <w:spacing w:after="160" w:before="340"/>
      </w:pPr>
      <w:r>
        <w:rPr>
          <w:rFonts w:ascii="Calibri" w:cs="Calibri" w:eastAsia="Calibri" w:hAnsi="Calibri"/>
          <w:b/>
          <w:bCs/>
          <w:color w:val="1F6F4A"/>
          <w:sz w:val="26"/>
          <w:szCs w:val="26"/>
        </w:rPr>
        <w:t xml:space="preserve">6.4 Estándares de Codificación</w:t>
      </w:r>
    </w:p>
    <w:p>
      <w:pPr>
        <w:pStyle w:val="ListParagraph"/>
        <w:numPr>
          <w:ilvl w:val="0"/>
          <w:numId w:val="2"/>
        </w:numPr>
        <w:spacing w:after="90" w:line="264"/>
      </w:pPr>
      <w:r>
        <w:rPr>
          <w:rFonts w:ascii="Calibri" w:cs="Calibri" w:eastAsia="Calibri" w:hAnsi="Calibri"/>
          <w:color w:val="232323"/>
          <w:sz w:val="21"/>
          <w:szCs w:val="21"/>
        </w:rPr>
        <w:t xml:space="preserve">Guía de estilo unificada por lenguaje (ESLint + Prettier para TypeScript/JavaScript en los microservicios Node.js/NestJS, React Native y Next.js).</w:t>
      </w:r>
    </w:p>
    <w:p>
      <w:pPr>
        <w:pStyle w:val="ListParagraph"/>
        <w:numPr>
          <w:ilvl w:val="0"/>
          <w:numId w:val="2"/>
        </w:numPr>
        <w:spacing w:after="90" w:line="264"/>
      </w:pPr>
      <w:r>
        <w:rPr>
          <w:rFonts w:ascii="Calibri" w:cs="Calibri" w:eastAsia="Calibri" w:hAnsi="Calibri"/>
          <w:color w:val="232323"/>
          <w:sz w:val="21"/>
          <w:szCs w:val="21"/>
        </w:rPr>
        <w:t xml:space="preserve">Revisión de código obligatoria (pull request con al menos un/a aprobador/a) antes de integrar a `main`, según la Definición de Terminado (sección 3.6.2).</w:t>
      </w:r>
    </w:p>
    <w:p>
      <w:pPr>
        <w:pStyle w:val="ListParagraph"/>
        <w:numPr>
          <w:ilvl w:val="0"/>
          <w:numId w:val="2"/>
        </w:numPr>
        <w:spacing w:after="90" w:line="264"/>
      </w:pPr>
      <w:r>
        <w:rPr>
          <w:rFonts w:ascii="Calibri" w:cs="Calibri" w:eastAsia="Calibri" w:hAnsi="Calibri"/>
          <w:color w:val="232323"/>
          <w:sz w:val="21"/>
          <w:szCs w:val="21"/>
        </w:rPr>
        <w:t xml:space="preserve">Checklist de revisión de código: legibilidad, cobertura de pruebas, manejo de errores, ausencia de datos sensibles «hardcodeados» y cumplimiento de los contratos de API definidos en la Fase 2.</w:t>
      </w:r>
    </w:p>
    <w:p>
      <w:pPr>
        <w:pStyle w:val="ListParagraph"/>
        <w:numPr>
          <w:ilvl w:val="0"/>
          <w:numId w:val="2"/>
        </w:numPr>
        <w:spacing w:after="90" w:line="264"/>
      </w:pPr>
      <w:r>
        <w:rPr>
          <w:rFonts w:ascii="Calibri" w:cs="Calibri" w:eastAsia="Calibri" w:hAnsi="Calibri"/>
          <w:color w:val="232323"/>
          <w:sz w:val="21"/>
          <w:szCs w:val="21"/>
        </w:rPr>
        <w:t xml:space="preserve">Documentación mínima obligatoria por servicio: propósito, variables de entorno requeridas y comando de ejecución local.</w:t>
      </w:r>
    </w:p>
    <w:p>
      <w:pPr>
        <w:pStyle w:val="Heading2"/>
        <w:spacing w:after="160" w:before="340"/>
      </w:pPr>
      <w:r>
        <w:rPr>
          <w:rFonts w:ascii="Calibri" w:cs="Calibri" w:eastAsia="Calibri" w:hAnsi="Calibri"/>
          <w:b/>
          <w:bCs/>
          <w:color w:val="1F6F4A"/>
          <w:sz w:val="26"/>
          <w:szCs w:val="26"/>
        </w:rPr>
        <w:t xml:space="preserve">6.5 Configuración de la Herramienta de Gestión Ágil</w:t>
      </w:r>
    </w:p>
    <w:p>
      <w:pPr>
        <w:pStyle w:val="ListParagraph"/>
        <w:numPr>
          <w:ilvl w:val="0"/>
          <w:numId w:val="2"/>
        </w:numPr>
        <w:spacing w:after="90" w:line="264"/>
      </w:pPr>
      <w:r>
        <w:rPr>
          <w:rFonts w:ascii="Calibri" w:cs="Calibri" w:eastAsia="Calibri" w:hAnsi="Calibri"/>
          <w:color w:val="232323"/>
          <w:sz w:val="21"/>
          <w:szCs w:val="21"/>
        </w:rPr>
        <w:t xml:space="preserve">Creación del proyecto Scrum en Jira o Azure DevOps, con los tipos de elemento: Épica, Historia de Usuario, Tarea técnica, Defecto (bug) y Deuda técnica.</w:t>
      </w:r>
    </w:p>
    <w:p>
      <w:pPr>
        <w:pStyle w:val="ListParagraph"/>
        <w:numPr>
          <w:ilvl w:val="0"/>
          <w:numId w:val="2"/>
        </w:numPr>
        <w:spacing w:after="90" w:line="264"/>
      </w:pPr>
      <w:r>
        <w:rPr>
          <w:rFonts w:ascii="Calibri" w:cs="Calibri" w:eastAsia="Calibri" w:hAnsi="Calibri"/>
          <w:color w:val="232323"/>
          <w:sz w:val="21"/>
          <w:szCs w:val="21"/>
        </w:rPr>
        <w:t xml:space="preserve">Configuración del tablero Kanban con las columnas: Por hacer / En progreso / En revisión de código / En pruebas (staging) / Terminado.</w:t>
      </w:r>
    </w:p>
    <w:p>
      <w:pPr>
        <w:pStyle w:val="ListParagraph"/>
        <w:numPr>
          <w:ilvl w:val="0"/>
          <w:numId w:val="2"/>
        </w:numPr>
        <w:spacing w:after="90" w:line="264"/>
      </w:pPr>
      <w:r>
        <w:rPr>
          <w:rFonts w:ascii="Calibri" w:cs="Calibri" w:eastAsia="Calibri" w:hAnsi="Calibri"/>
          <w:color w:val="232323"/>
          <w:sz w:val="21"/>
          <w:szCs w:val="21"/>
        </w:rPr>
        <w:t xml:space="preserve">Carga del Product Backlog priorizado resultante de la Fase 1, con story points ya estimados.</w:t>
      </w:r>
    </w:p>
    <w:p>
      <w:pPr>
        <w:pStyle w:val="ListParagraph"/>
        <w:numPr>
          <w:ilvl w:val="0"/>
          <w:numId w:val="2"/>
        </w:numPr>
        <w:spacing w:after="90" w:line="264"/>
      </w:pPr>
      <w:r>
        <w:rPr>
          <w:rFonts w:ascii="Calibri" w:cs="Calibri" w:eastAsia="Calibri" w:hAnsi="Calibri"/>
          <w:color w:val="232323"/>
          <w:sz w:val="21"/>
          <w:szCs w:val="21"/>
        </w:rPr>
        <w:t xml:space="preserve">Configuración de los reportes automáticos de burndown y velocity descritos en la sección 7.5.</w:t>
      </w:r>
    </w:p>
    <w:p>
      <w:pPr>
        <w:pStyle w:val="Heading2"/>
        <w:spacing w:after="160" w:before="340"/>
      </w:pPr>
      <w:r>
        <w:rPr>
          <w:rFonts w:ascii="Calibri" w:cs="Calibri" w:eastAsia="Calibri" w:hAnsi="Calibri"/>
          <w:b/>
          <w:bCs/>
          <w:color w:val="1F6F4A"/>
          <w:sz w:val="26"/>
          <w:szCs w:val="26"/>
        </w:rPr>
        <w:t xml:space="preserve">6.6 Entorno de Desarrollo Reproducible</w:t>
      </w:r>
    </w:p>
    <w:p>
      <w:pPr>
        <w:spacing w:after="160" w:line="276"/>
        <w:jc w:val="left"/>
      </w:pPr>
      <w:r>
        <w:rPr>
          <w:rFonts w:ascii="Calibri" w:cs="Calibri" w:eastAsia="Calibri" w:hAnsi="Calibri"/>
          <w:color w:val="232323"/>
          <w:sz w:val="21"/>
          <w:szCs w:val="21"/>
        </w:rPr>
        <w:t xml:space="preserve">Se provee una configuración de Docker Compose que levanta, con un único comando, una réplica local de PostgreSQL, Redis, Elasticsearch y los microservicios en modo desarrollo, de forma que cualquier nueva incorporación al equipo pueda tener un entorno de trabajo funcional en menos de una hora.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shd w:fill="F2F2F2" w:val="clear"/>
            <w:tcMar>
              <w:top w:type="dxa" w:w="160"/>
              <w:left w:type="dxa" w:w="220"/>
              <w:bottom w:type="dxa" w:w="160"/>
              <w:right w:type="dxa" w:w="220"/>
            </w:tcMar>
          </w:tcPr>
          <w:p>
            <w:pPr>
              <w:spacing w:after="60"/>
            </w:pPr>
            <w:r>
              <w:rPr>
                <w:rFonts w:ascii="Consolas" w:cs="Consolas" w:eastAsia="Consolas" w:hAnsi="Consolas"/>
                <w:color w:val="3B3B3B"/>
                <w:sz w:val="19"/>
                <w:szCs w:val="19"/>
              </w:rPr>
              <w:t xml:space="preserve">$ docker compose up -d     # base de datos, caché, búsqueda y microservicios</w:t>
            </w:r>
          </w:p>
          <w:p>
            <w:pPr>
              <w:spacing w:after="0"/>
            </w:pPr>
            <w:r>
              <w:rPr>
                <w:rFonts w:ascii="Consolas" w:cs="Consolas" w:eastAsia="Consolas" w:hAnsi="Consolas"/>
                <w:color w:val="3B3B3B"/>
                <w:sz w:val="19"/>
                <w:szCs w:val="19"/>
              </w:rPr>
              <w:t xml:space="preserve">$ npm run dev              # inicia el servicio con recarga automática</w:t>
            </w:r>
          </w:p>
        </w:tc>
      </w:tr>
    </w:tbl>
    <w:p>
      <w:pPr>
        <w:spacing w:after="160"/>
      </w:pPr>
    </w:p>
    <w:p>
      <w:pPr>
        <w:pStyle w:val="Heading2"/>
        <w:spacing w:after="160" w:before="340"/>
      </w:pPr>
      <w:r>
        <w:rPr>
          <w:rFonts w:ascii="Calibri" w:cs="Calibri" w:eastAsia="Calibri" w:hAnsi="Calibri"/>
          <w:b/>
          <w:bCs/>
          <w:color w:val="1F6F4A"/>
          <w:sz w:val="26"/>
          <w:szCs w:val="26"/>
        </w:rPr>
        <w:t xml:space="preserve">6.7 Entregables de la Fase</w:t>
      </w:r>
    </w:p>
    <w:p>
      <w:pPr>
        <w:pStyle w:val="ListParagraph"/>
        <w:numPr>
          <w:ilvl w:val="0"/>
          <w:numId w:val="2"/>
        </w:numPr>
        <w:spacing w:after="90" w:line="264"/>
      </w:pPr>
      <w:r>
        <w:rPr>
          <w:rFonts w:ascii="Calibri" w:cs="Calibri" w:eastAsia="Calibri" w:hAnsi="Calibri"/>
          <w:color w:val="232323"/>
          <w:sz w:val="21"/>
          <w:szCs w:val="21"/>
        </w:rPr>
        <w:t xml:space="preserve">Repositorios de código creados, con estrategia de ramificación y checklist de revisión documentados.</w:t>
      </w:r>
    </w:p>
    <w:p>
      <w:pPr>
        <w:pStyle w:val="ListParagraph"/>
        <w:numPr>
          <w:ilvl w:val="0"/>
          <w:numId w:val="2"/>
        </w:numPr>
        <w:spacing w:after="90" w:line="264"/>
      </w:pPr>
      <w:r>
        <w:rPr>
          <w:rFonts w:ascii="Calibri" w:cs="Calibri" w:eastAsia="Calibri" w:hAnsi="Calibri"/>
          <w:color w:val="232323"/>
          <w:sz w:val="21"/>
          <w:szCs w:val="21"/>
        </w:rPr>
        <w:t xml:space="preserve">Pipeline de CI/CD funcional, verificado con un despliegue de prueba («hola mundo») hasta el entorno de Staging.</w:t>
      </w:r>
    </w:p>
    <w:p>
      <w:pPr>
        <w:pStyle w:val="ListParagraph"/>
        <w:numPr>
          <w:ilvl w:val="0"/>
          <w:numId w:val="2"/>
        </w:numPr>
        <w:spacing w:after="90" w:line="264"/>
      </w:pPr>
      <w:r>
        <w:rPr>
          <w:rFonts w:ascii="Calibri" w:cs="Calibri" w:eastAsia="Calibri" w:hAnsi="Calibri"/>
          <w:color w:val="232323"/>
          <w:sz w:val="21"/>
          <w:szCs w:val="21"/>
        </w:rPr>
        <w:t xml:space="preserve">Entorno de desarrollo local reproducible mediante Docker Compose.</w:t>
      </w:r>
    </w:p>
    <w:p>
      <w:pPr>
        <w:pStyle w:val="ListParagraph"/>
        <w:numPr>
          <w:ilvl w:val="0"/>
          <w:numId w:val="2"/>
        </w:numPr>
        <w:spacing w:after="90" w:line="264"/>
      </w:pPr>
      <w:r>
        <w:rPr>
          <w:rFonts w:ascii="Calibri" w:cs="Calibri" w:eastAsia="Calibri" w:hAnsi="Calibri"/>
          <w:color w:val="232323"/>
          <w:sz w:val="21"/>
          <w:szCs w:val="21"/>
        </w:rPr>
        <w:t xml:space="preserve">Tablero de gestión ágil configurado, con el Product Backlog inicial cargado.</w:t>
      </w:r>
    </w:p>
    <w:p>
      <w:pPr>
        <w:pStyle w:val="Heading1"/>
        <w:pageBreakBefore/>
        <w:pBdr>
          <w:bottom w:val="single" w:color="1F6F4A" w:sz="14" w:space="8"/>
        </w:pBdr>
        <w:spacing w:after="260" w:before="0"/>
      </w:pPr>
      <w:r>
        <w:rPr>
          <w:rFonts w:ascii="Calibri" w:cs="Calibri" w:eastAsia="Calibri" w:hAnsi="Calibri"/>
          <w:b/>
          <w:bCs/>
          <w:color w:val="173F32"/>
          <w:sz w:val="32"/>
          <w:szCs w:val="32"/>
        </w:rPr>
        <w:t xml:space="preserve">7. Fase 4 — Desarrollo Iterativo del Producto</w:t>
      </w:r>
    </w:p>
    <w:p>
      <w:pPr>
        <w:spacing w:after="160" w:line="276"/>
        <w:jc w:val="left"/>
      </w:pPr>
      <w:r>
        <w:rPr>
          <w:rFonts w:ascii="Calibri" w:cs="Calibri" w:eastAsia="Calibri" w:hAnsi="Calibri"/>
          <w:color w:val="232323"/>
          <w:sz w:val="21"/>
          <w:szCs w:val="21"/>
        </w:rPr>
        <w:t xml:space="preserve">Con el entorno preparado y el backlog priorizado, el equipo inicia el ciclo continuo de sprints de dos semanas que constituye el núcleo del proyecto de construcción. Cada sprint sigue el mismo patrón: Sprint Planning, ejecución diaria con Daily Scrum, Sprint Review y Sprint Retrospective, conforme lo definido en la sección 3.4.</w:t>
      </w:r>
    </w:p>
    <w:p>
      <w:pPr>
        <w:pStyle w:val="Heading2"/>
        <w:spacing w:after="160" w:before="340"/>
      </w:pPr>
      <w:r>
        <w:rPr>
          <w:rFonts w:ascii="Calibri" w:cs="Calibri" w:eastAsia="Calibri" w:hAnsi="Calibri"/>
          <w:b/>
          <w:bCs/>
          <w:color w:val="1F6F4A"/>
          <w:sz w:val="26"/>
          <w:szCs w:val="26"/>
        </w:rPr>
        <w:t xml:space="preserve">7.1 Organización del Backlog y Plan de Releases</w:t>
      </w:r>
    </w:p>
    <w:p>
      <w:pPr>
        <w:spacing w:after="160" w:line="276"/>
        <w:jc w:val="left"/>
      </w:pPr>
      <w:r>
        <w:rPr>
          <w:rFonts w:ascii="Calibri" w:cs="Calibri" w:eastAsia="Calibri" w:hAnsi="Calibri"/>
          <w:color w:val="232323"/>
          <w:sz w:val="21"/>
          <w:szCs w:val="21"/>
        </w:rPr>
        <w:t xml:space="preserve">El desarrollo se organiza en tres releases (versiones liberables) sucesivas, alineadas con las fases de alcance definidas en la sección 6 del Plan de Negocios:</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2268"/>
        <w:gridCol w:w="3780"/>
        <w:gridCol w:w="3024"/>
      </w:tblGrid>
      <w:tr>
        <w:trPr>
          <w:cantSplit/>
          <w:tblHeader/>
        </w:trPr>
        <w:tc>
          <w:tcPr>
            <w:tcW w:type="dxa" w:w="2268"/>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Release</w:t>
            </w:r>
          </w:p>
        </w:tc>
        <w:tc>
          <w:tcPr>
            <w:tcW w:type="dxa" w:w="3780"/>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Contenido principal</w:t>
            </w:r>
          </w:p>
        </w:tc>
        <w:tc>
          <w:tcPr>
            <w:tcW w:type="dxa" w:w="3024"/>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Fase de negocio asociada</w:t>
            </w:r>
          </w:p>
        </w:tc>
      </w:tr>
      <w:tr>
        <w:trPr>
          <w:cantSplit/>
        </w:trPr>
        <w:tc>
          <w:tcPr>
            <w:tcW w:type="dxa" w:w="2268"/>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Release 1 — MVP interno (Alpha)</w:t>
            </w:r>
          </w:p>
        </w:tc>
        <w:tc>
          <w:tcPr>
            <w:tcW w:type="dxa" w:w="3780"/>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Épicas E1, E2, E3 y E4 (identidad, publicación de canchas, búsqueda, reserva y pago)</w:t>
            </w:r>
          </w:p>
        </w:tc>
        <w:tc>
          <w:tcPr>
            <w:tcW w:type="dxa" w:w="302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Cierre de la Fase 1 del alcance (MVP)</w:t>
            </w:r>
          </w:p>
        </w:tc>
      </w:tr>
      <w:tr>
        <w:trPr>
          <w:cantSplit/>
        </w:trPr>
        <w:tc>
          <w:tcPr>
            <w:tcW w:type="dxa" w:w="2268"/>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Release 2 — Piloto Cusco (Beta)</w:t>
            </w:r>
          </w:p>
        </w:tc>
        <w:tc>
          <w:tcPr>
            <w:tcW w:type="dxa" w:w="3780"/>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Endurecimiento del Release 1 más notificaciones mínimas (E7); despliegue con 15 a 20 centros piloto</w:t>
            </w:r>
          </w:p>
        </w:tc>
        <w:tc>
          <w:tcPr>
            <w:tcW w:type="dxa" w:w="302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Transición Fase 1 → Fase 2 del alcance</w:t>
            </w:r>
          </w:p>
        </w:tc>
      </w:tr>
      <w:tr>
        <w:trPr>
          <w:cantSplit/>
        </w:trPr>
        <w:tc>
          <w:tcPr>
            <w:tcW w:type="dxa" w:w="2268"/>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Release 3 — Lanzamiento comercial</w:t>
            </w:r>
          </w:p>
        </w:tc>
        <w:tc>
          <w:tcPr>
            <w:tcW w:type="dxa" w:w="3780"/>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Épicas E5, E6 y E8 (campeonatos, reputación, panel administrativo) y planes de suscripción SaaS</w:t>
            </w:r>
          </w:p>
        </w:tc>
        <w:tc>
          <w:tcPr>
            <w:tcW w:type="dxa" w:w="302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Fase 2 del alcance (Lanzamiento Comercial en Cusco)</w:t>
            </w:r>
          </w:p>
        </w:tc>
      </w:tr>
    </w:tbl>
    <w:p>
      <w:pPr>
        <w:spacing w:after="160"/>
      </w:pPr>
    </w:p>
    <w:p>
      <w:pPr>
        <w:pStyle w:val="Heading2"/>
        <w:spacing w:after="160" w:before="340"/>
      </w:pPr>
      <w:r>
        <w:rPr>
          <w:rFonts w:ascii="Calibri" w:cs="Calibri" w:eastAsia="Calibri" w:hAnsi="Calibri"/>
          <w:b/>
          <w:bCs/>
          <w:color w:val="1F6F4A"/>
          <w:sz w:val="26"/>
          <w:szCs w:val="26"/>
        </w:rPr>
        <w:t xml:space="preserve">7.2 Ejemplo de Planificación de Sprints (Roadmap del MVP)</w:t>
      </w:r>
    </w:p>
    <w:p>
      <w:pPr>
        <w:spacing w:after="160" w:line="276"/>
        <w:jc w:val="left"/>
      </w:pPr>
      <w:r>
        <w:rPr>
          <w:rFonts w:ascii="Calibri" w:cs="Calibri" w:eastAsia="Calibri" w:hAnsi="Calibri"/>
          <w:color w:val="232323"/>
          <w:sz w:val="21"/>
          <w:szCs w:val="21"/>
        </w:rPr>
        <w:t xml:space="preserve">La siguiente tabla presenta una planificación referencial de doce sprints (más el Sprint 0), que el equipo debe recalibrar en cada sesión de refinamiento según su velocidad real observada. Esta planificación se relaciona con el cronograma general presentado en la sección 11.</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1296"/>
        <w:gridCol w:w="1296"/>
        <w:gridCol w:w="4536"/>
        <w:gridCol w:w="1944"/>
      </w:tblGrid>
      <w:tr>
        <w:trPr>
          <w:cantSplit/>
          <w:tblHeader/>
        </w:trPr>
        <w:tc>
          <w:tcPr>
            <w:tcW w:type="dxa" w:w="1296"/>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Sprint</w:t>
            </w:r>
          </w:p>
        </w:tc>
        <w:tc>
          <w:tcPr>
            <w:tcW w:type="dxa" w:w="1296"/>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Semanas</w:t>
            </w:r>
          </w:p>
        </w:tc>
        <w:tc>
          <w:tcPr>
            <w:tcW w:type="dxa" w:w="4536"/>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Objetivo del sprint (Sprint Goal)</w:t>
            </w:r>
          </w:p>
        </w:tc>
        <w:tc>
          <w:tcPr>
            <w:tcW w:type="dxa" w:w="1944"/>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Épicas principales</w:t>
            </w:r>
          </w:p>
        </w:tc>
      </w:tr>
      <w:tr>
        <w:trPr>
          <w:cantSplit/>
        </w:trPr>
        <w:tc>
          <w:tcPr>
            <w:tcW w:type="dxa" w:w="129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Sprint 0</w:t>
            </w:r>
          </w:p>
        </w:tc>
        <w:tc>
          <w:tcPr>
            <w:tcW w:type="dxa" w:w="129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1–2</w:t>
            </w:r>
          </w:p>
        </w:tc>
        <w:tc>
          <w:tcPr>
            <w:tcW w:type="dxa" w:w="453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Entorno de desarrollo, repositorios y pipeline CI/CD operativos</w:t>
            </w:r>
          </w:p>
        </w:tc>
        <w:tc>
          <w:tcPr>
            <w:tcW w:type="dxa" w:w="194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 (preparación)</w:t>
            </w:r>
          </w:p>
        </w:tc>
      </w:tr>
      <w:tr>
        <w:trPr>
          <w:cantSplit/>
        </w:trPr>
        <w:tc>
          <w:tcPr>
            <w:tcW w:type="dxa" w:w="129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Sprint 1</w:t>
            </w:r>
          </w:p>
        </w:tc>
        <w:tc>
          <w:tcPr>
            <w:tcW w:type="dxa" w:w="129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3–4</w:t>
            </w:r>
          </w:p>
        </w:tc>
        <w:tc>
          <w:tcPr>
            <w:tcW w:type="dxa" w:w="453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Registro e inicio de sesión funcionando de extremo a extremo para los cuatro roles</w:t>
            </w:r>
          </w:p>
        </w:tc>
        <w:tc>
          <w:tcPr>
            <w:tcW w:type="dxa" w:w="194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E1</w:t>
            </w:r>
          </w:p>
        </w:tc>
      </w:tr>
      <w:tr>
        <w:trPr>
          <w:cantSplit/>
        </w:trPr>
        <w:tc>
          <w:tcPr>
            <w:tcW w:type="dxa" w:w="129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Sprint 2</w:t>
            </w:r>
          </w:p>
        </w:tc>
        <w:tc>
          <w:tcPr>
            <w:tcW w:type="dxa" w:w="129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5–6</w:t>
            </w:r>
          </w:p>
        </w:tc>
        <w:tc>
          <w:tcPr>
            <w:tcW w:type="dxa" w:w="453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Un administrador puede publicar una cancha completa con fotos, precios y horarios</w:t>
            </w:r>
          </w:p>
        </w:tc>
        <w:tc>
          <w:tcPr>
            <w:tcW w:type="dxa" w:w="194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E2</w:t>
            </w:r>
          </w:p>
        </w:tc>
      </w:tr>
      <w:tr>
        <w:trPr>
          <w:cantSplit/>
        </w:trPr>
        <w:tc>
          <w:tcPr>
            <w:tcW w:type="dxa" w:w="129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Sprint 3</w:t>
            </w:r>
          </w:p>
        </w:tc>
        <w:tc>
          <w:tcPr>
            <w:tcW w:type="dxa" w:w="129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7–8</w:t>
            </w:r>
          </w:p>
        </w:tc>
        <w:tc>
          <w:tcPr>
            <w:tcW w:type="dxa" w:w="453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Un deportista puede buscar canchas y ver disponibilidad en tiempo real</w:t>
            </w:r>
          </w:p>
        </w:tc>
        <w:tc>
          <w:tcPr>
            <w:tcW w:type="dxa" w:w="194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E3</w:t>
            </w:r>
          </w:p>
        </w:tc>
      </w:tr>
      <w:tr>
        <w:trPr>
          <w:cantSplit/>
        </w:trPr>
        <w:tc>
          <w:tcPr>
            <w:tcW w:type="dxa" w:w="129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Sprint 4</w:t>
            </w:r>
          </w:p>
        </w:tc>
        <w:tc>
          <w:tcPr>
            <w:tcW w:type="dxa" w:w="129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9–10</w:t>
            </w:r>
          </w:p>
        </w:tc>
        <w:tc>
          <w:tcPr>
            <w:tcW w:type="dxa" w:w="453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Un deportista puede reservar con bloqueo temporal del horario</w:t>
            </w:r>
          </w:p>
        </w:tc>
        <w:tc>
          <w:tcPr>
            <w:tcW w:type="dxa" w:w="194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E3, E4 (inicio)</w:t>
            </w:r>
          </w:p>
        </w:tc>
      </w:tr>
      <w:tr>
        <w:trPr>
          <w:cantSplit/>
        </w:trPr>
        <w:tc>
          <w:tcPr>
            <w:tcW w:type="dxa" w:w="129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Sprint 5</w:t>
            </w:r>
          </w:p>
        </w:tc>
        <w:tc>
          <w:tcPr>
            <w:tcW w:type="dxa" w:w="129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11–12</w:t>
            </w:r>
          </w:p>
        </w:tc>
        <w:tc>
          <w:tcPr>
            <w:tcW w:type="dxa" w:w="453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Pago en línea funcional con Culqi, Yape y Plin, con liquidación básica al centro</w:t>
            </w:r>
          </w:p>
        </w:tc>
        <w:tc>
          <w:tcPr>
            <w:tcW w:type="dxa" w:w="194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E4</w:t>
            </w:r>
          </w:p>
        </w:tc>
      </w:tr>
      <w:tr>
        <w:trPr>
          <w:cantSplit/>
        </w:trPr>
        <w:tc>
          <w:tcPr>
            <w:tcW w:type="dxa" w:w="129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Sprint 6</w:t>
            </w:r>
          </w:p>
        </w:tc>
        <w:tc>
          <w:tcPr>
            <w:tcW w:type="dxa" w:w="129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13–14</w:t>
            </w:r>
          </w:p>
        </w:tc>
        <w:tc>
          <w:tcPr>
            <w:tcW w:type="dxa" w:w="453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Endurecimiento, pruebas de carga y corrección de errores; listo para el piloto</w:t>
            </w:r>
          </w:p>
        </w:tc>
        <w:tc>
          <w:tcPr>
            <w:tcW w:type="dxa" w:w="194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Transversal (QA)</w:t>
            </w:r>
          </w:p>
        </w:tc>
      </w:tr>
      <w:tr>
        <w:trPr>
          <w:cantSplit/>
        </w:trPr>
        <w:tc>
          <w:tcPr>
            <w:tcW w:type="dxa" w:w="129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Sprint 7</w:t>
            </w:r>
          </w:p>
        </w:tc>
        <w:tc>
          <w:tcPr>
            <w:tcW w:type="dxa" w:w="129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15–16</w:t>
            </w:r>
          </w:p>
        </w:tc>
        <w:tc>
          <w:tcPr>
            <w:tcW w:type="dxa" w:w="453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Sistema de reputación bidireccional activo tras cada reserva</w:t>
            </w:r>
          </w:p>
        </w:tc>
        <w:tc>
          <w:tcPr>
            <w:tcW w:type="dxa" w:w="194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E6</w:t>
            </w:r>
          </w:p>
        </w:tc>
      </w:tr>
      <w:tr>
        <w:trPr>
          <w:cantSplit/>
        </w:trPr>
        <w:tc>
          <w:tcPr>
            <w:tcW w:type="dxa" w:w="129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Sprint 8</w:t>
            </w:r>
          </w:p>
        </w:tc>
        <w:tc>
          <w:tcPr>
            <w:tcW w:type="dxa" w:w="129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17–18</w:t>
            </w:r>
          </w:p>
        </w:tc>
        <w:tc>
          <w:tcPr>
            <w:tcW w:type="dxa" w:w="453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Creación de campeonatos e inscripción de equipos</w:t>
            </w:r>
          </w:p>
        </w:tc>
        <w:tc>
          <w:tcPr>
            <w:tcW w:type="dxa" w:w="194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E5 (inicio)</w:t>
            </w:r>
          </w:p>
        </w:tc>
      </w:tr>
      <w:tr>
        <w:trPr>
          <w:cantSplit/>
        </w:trPr>
        <w:tc>
          <w:tcPr>
            <w:tcW w:type="dxa" w:w="129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Sprint 9</w:t>
            </w:r>
          </w:p>
        </w:tc>
        <w:tc>
          <w:tcPr>
            <w:tcW w:type="dxa" w:w="129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19–20</w:t>
            </w:r>
          </w:p>
        </w:tc>
        <w:tc>
          <w:tcPr>
            <w:tcW w:type="dxa" w:w="453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Generación automática de cuadros de competencia y calendarización</w:t>
            </w:r>
          </w:p>
        </w:tc>
        <w:tc>
          <w:tcPr>
            <w:tcW w:type="dxa" w:w="194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E5</w:t>
            </w:r>
          </w:p>
        </w:tc>
      </w:tr>
      <w:tr>
        <w:trPr>
          <w:cantSplit/>
        </w:trPr>
        <w:tc>
          <w:tcPr>
            <w:tcW w:type="dxa" w:w="129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Sprint 10</w:t>
            </w:r>
          </w:p>
        </w:tc>
        <w:tc>
          <w:tcPr>
            <w:tcW w:type="dxa" w:w="129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21–22</w:t>
            </w:r>
          </w:p>
        </w:tc>
        <w:tc>
          <w:tcPr>
            <w:tcW w:type="dxa" w:w="453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Registro de resultados en tiempo real y tabla de posiciones pública</w:t>
            </w:r>
          </w:p>
        </w:tc>
        <w:tc>
          <w:tcPr>
            <w:tcW w:type="dxa" w:w="194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E5</w:t>
            </w:r>
          </w:p>
        </w:tc>
      </w:tr>
      <w:tr>
        <w:trPr>
          <w:cantSplit/>
        </w:trPr>
        <w:tc>
          <w:tcPr>
            <w:tcW w:type="dxa" w:w="129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Sprint 11</w:t>
            </w:r>
          </w:p>
        </w:tc>
        <w:tc>
          <w:tcPr>
            <w:tcW w:type="dxa" w:w="129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23–24</w:t>
            </w:r>
          </w:p>
        </w:tc>
        <w:tc>
          <w:tcPr>
            <w:tcW w:type="dxa" w:w="453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Planes de suscripción Pro/Premium y panel de analítica para centros</w:t>
            </w:r>
          </w:p>
        </w:tc>
        <w:tc>
          <w:tcPr>
            <w:tcW w:type="dxa" w:w="194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E8</w:t>
            </w:r>
          </w:p>
        </w:tc>
      </w:tr>
      <w:tr>
        <w:trPr>
          <w:cantSplit/>
        </w:trPr>
        <w:tc>
          <w:tcPr>
            <w:tcW w:type="dxa" w:w="129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Sprint 12</w:t>
            </w:r>
          </w:p>
        </w:tc>
        <w:tc>
          <w:tcPr>
            <w:tcW w:type="dxa" w:w="129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25–26</w:t>
            </w:r>
          </w:p>
        </w:tc>
        <w:tc>
          <w:tcPr>
            <w:tcW w:type="dxa" w:w="453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Endurecimiento final y preparación del lanzamiento comercial</w:t>
            </w:r>
          </w:p>
        </w:tc>
        <w:tc>
          <w:tcPr>
            <w:tcW w:type="dxa" w:w="194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Transversal (QA)</w:t>
            </w:r>
          </w:p>
        </w:tc>
      </w:tr>
    </w:tbl>
    <w:p>
      <w:pPr>
        <w:spacing w:after="160"/>
      </w:pPr>
    </w:p>
    <w:p>
      <w:pPr>
        <w:spacing w:after="220" w:before="60"/>
        <w:ind w:left="200"/>
      </w:pPr>
      <w:r>
        <w:rPr>
          <w:rFonts w:ascii="Calibri" w:cs="Calibri" w:eastAsia="Calibri" w:hAnsi="Calibri"/>
          <w:i/>
          <w:iCs/>
          <w:color w:val="5B5B5B"/>
          <w:sz w:val="19"/>
          <w:szCs w:val="19"/>
        </w:rPr>
        <w:t xml:space="preserve">Los Sprints 1 a 6 corresponden aproximadamente a la Fase 1 del alcance de negocio (MVP, mes 3 a 6); los Sprints 7 a 12, a la primera mitad de la Fase 2 (Lanzamiento Comercial en Cusco, mes 6 a 12). El detalle completo se desarrolla en la sección 11.</w:t>
      </w:r>
    </w:p>
    <w:p>
      <w:pPr>
        <w:pStyle w:val="Heading2"/>
        <w:spacing w:after="160" w:before="340"/>
      </w:pPr>
      <w:r>
        <w:rPr>
          <w:rFonts w:ascii="Calibri" w:cs="Calibri" w:eastAsia="Calibri" w:hAnsi="Calibri"/>
          <w:b/>
          <w:bCs/>
          <w:color w:val="1F6F4A"/>
          <w:sz w:val="26"/>
          <w:szCs w:val="26"/>
        </w:rPr>
        <w:t xml:space="preserve">7.3 Prácticas de Ingeniería</w:t>
      </w:r>
    </w:p>
    <w:p>
      <w:pPr>
        <w:pStyle w:val="ListParagraph"/>
        <w:numPr>
          <w:ilvl w:val="0"/>
          <w:numId w:val="2"/>
        </w:numPr>
        <w:spacing w:after="90" w:line="264"/>
      </w:pPr>
      <w:r>
        <w:rPr>
          <w:rFonts w:ascii="Calibri" w:cs="Calibri" w:eastAsia="Calibri" w:hAnsi="Calibri"/>
          <w:b/>
          <w:bCs/>
          <w:color w:val="232323"/>
          <w:sz w:val="21"/>
          <w:szCs w:val="21"/>
        </w:rPr>
        <w:t xml:space="preserve">Desarrollo dirigido por pruebas (TDD): </w:t>
      </w:r>
      <w:r>
        <w:rPr>
          <w:rFonts w:ascii="Calibri" w:cs="Calibri" w:eastAsia="Calibri" w:hAnsi="Calibri"/>
          <w:color w:val="232323"/>
          <w:sz w:val="21"/>
          <w:szCs w:val="21"/>
        </w:rPr>
        <w:t xml:space="preserve">recomendado especialmente para la lógica de negocio de los microservicios de Reservas y Pagos, donde el costo de un defecto es más alto.</w:t>
      </w:r>
    </w:p>
    <w:p>
      <w:pPr>
        <w:pStyle w:val="ListParagraph"/>
        <w:numPr>
          <w:ilvl w:val="0"/>
          <w:numId w:val="2"/>
        </w:numPr>
        <w:spacing w:after="90" w:line="264"/>
      </w:pPr>
      <w:r>
        <w:rPr>
          <w:rFonts w:ascii="Calibri" w:cs="Calibri" w:eastAsia="Calibri" w:hAnsi="Calibri"/>
          <w:b/>
          <w:bCs/>
          <w:color w:val="232323"/>
          <w:sz w:val="21"/>
          <w:szCs w:val="21"/>
        </w:rPr>
        <w:t xml:space="preserve">Integración continua: </w:t>
      </w:r>
      <w:r>
        <w:rPr>
          <w:rFonts w:ascii="Calibri" w:cs="Calibri" w:eastAsia="Calibri" w:hAnsi="Calibri"/>
          <w:color w:val="232323"/>
          <w:sz w:val="21"/>
          <w:szCs w:val="21"/>
        </w:rPr>
        <w:t xml:space="preserve">cada integrante del equipo integra su código a `main` al menos una vez al día, evitando la acumulación de cambios difíciles de fusionar.</w:t>
      </w:r>
    </w:p>
    <w:p>
      <w:pPr>
        <w:pStyle w:val="ListParagraph"/>
        <w:numPr>
          <w:ilvl w:val="0"/>
          <w:numId w:val="2"/>
        </w:numPr>
        <w:spacing w:after="90" w:line="264"/>
      </w:pPr>
      <w:r>
        <w:rPr>
          <w:rFonts w:ascii="Calibri" w:cs="Calibri" w:eastAsia="Calibri" w:hAnsi="Calibri"/>
          <w:b/>
          <w:bCs/>
          <w:color w:val="232323"/>
          <w:sz w:val="21"/>
          <w:szCs w:val="21"/>
        </w:rPr>
        <w:t xml:space="preserve">Revisión de código obligatoria: </w:t>
      </w:r>
      <w:r>
        <w:rPr>
          <w:rFonts w:ascii="Calibri" w:cs="Calibri" w:eastAsia="Calibri" w:hAnsi="Calibri"/>
          <w:color w:val="232323"/>
          <w:sz w:val="21"/>
          <w:szCs w:val="21"/>
        </w:rPr>
        <w:t xml:space="preserve">todo pull request requiere al menos una aprobación antes de integrarse, conforme al estándar definido en la sección 6.4.</w:t>
      </w:r>
    </w:p>
    <w:p>
      <w:pPr>
        <w:pStyle w:val="ListParagraph"/>
        <w:numPr>
          <w:ilvl w:val="0"/>
          <w:numId w:val="2"/>
        </w:numPr>
        <w:spacing w:after="90" w:line="264"/>
      </w:pPr>
      <w:r>
        <w:rPr>
          <w:rFonts w:ascii="Calibri" w:cs="Calibri" w:eastAsia="Calibri" w:hAnsi="Calibri"/>
          <w:b/>
          <w:bCs/>
          <w:color w:val="232323"/>
          <w:sz w:val="21"/>
          <w:szCs w:val="21"/>
        </w:rPr>
        <w:t xml:space="preserve">Programación en pareja (pair programming): </w:t>
      </w:r>
      <w:r>
        <w:rPr>
          <w:rFonts w:ascii="Calibri" w:cs="Calibri" w:eastAsia="Calibri" w:hAnsi="Calibri"/>
          <w:color w:val="232323"/>
          <w:sz w:val="21"/>
          <w:szCs w:val="21"/>
        </w:rPr>
        <w:t xml:space="preserve">recomendada, aunque no obligatoria, para los componentes de mayor criticidad transaccional (integración con la pasarela de pagos, generación de cuadros de competencia).</w:t>
      </w:r>
    </w:p>
    <w:p>
      <w:pPr>
        <w:pStyle w:val="ListParagraph"/>
        <w:numPr>
          <w:ilvl w:val="0"/>
          <w:numId w:val="2"/>
        </w:numPr>
        <w:spacing w:after="90" w:line="264"/>
      </w:pPr>
      <w:r>
        <w:rPr>
          <w:rFonts w:ascii="Calibri" w:cs="Calibri" w:eastAsia="Calibri" w:hAnsi="Calibri"/>
          <w:b/>
          <w:bCs/>
          <w:color w:val="232323"/>
          <w:sz w:val="21"/>
          <w:szCs w:val="21"/>
        </w:rPr>
        <w:t xml:space="preserve">Refactorización continua: </w:t>
      </w:r>
      <w:r>
        <w:rPr>
          <w:rFonts w:ascii="Calibri" w:cs="Calibri" w:eastAsia="Calibri" w:hAnsi="Calibri"/>
          <w:color w:val="232323"/>
          <w:sz w:val="21"/>
          <w:szCs w:val="21"/>
        </w:rPr>
        <w:t xml:space="preserve">el equipo mejora incrementalmente el código existente como parte natural del trabajo de cada historia, en lugar de posponerla a un «sprint de refactorización» que rara vez llega a priorizarse.</w:t>
      </w:r>
    </w:p>
    <w:p>
      <w:pPr>
        <w:pStyle w:val="Heading2"/>
        <w:spacing w:after="160" w:before="340"/>
      </w:pPr>
      <w:r>
        <w:rPr>
          <w:rFonts w:ascii="Calibri" w:cs="Calibri" w:eastAsia="Calibri" w:hAnsi="Calibri"/>
          <w:b/>
          <w:bCs/>
          <w:color w:val="1F6F4A"/>
          <w:sz w:val="26"/>
          <w:szCs w:val="26"/>
        </w:rPr>
        <w:t xml:space="preserve">7.4 Gestión de la Deuda Técnica</w:t>
      </w:r>
    </w:p>
    <w:p>
      <w:pPr>
        <w:spacing w:after="160" w:line="276"/>
        <w:jc w:val="left"/>
      </w:pPr>
      <w:r>
        <w:rPr>
          <w:rFonts w:ascii="Calibri" w:cs="Calibri" w:eastAsia="Calibri" w:hAnsi="Calibri"/>
          <w:color w:val="232323"/>
          <w:sz w:val="21"/>
          <w:szCs w:val="21"/>
        </w:rPr>
        <w:t xml:space="preserve">Se reserva de forma explícita entre el </w:t>
      </w:r>
      <w:r>
        <w:rPr>
          <w:rFonts w:ascii="Calibri" w:cs="Calibri" w:eastAsia="Calibri" w:hAnsi="Calibri"/>
          <w:b/>
          <w:bCs/>
          <w:color w:val="232323"/>
          <w:sz w:val="21"/>
          <w:szCs w:val="21"/>
        </w:rPr>
        <w:t xml:space="preserve">15 % y el 20 % de la capacidad de cada sprint</w:t>
      </w:r>
      <w:r>
        <w:rPr>
          <w:rFonts w:ascii="Calibri" w:cs="Calibri" w:eastAsia="Calibri" w:hAnsi="Calibri"/>
          <w:color w:val="232323"/>
          <w:sz w:val="21"/>
          <w:szCs w:val="21"/>
        </w:rPr>
        <w:t xml:space="preserve"> para atender deuda técnica (código que funciona pero que compromete la mantenibilidad futura), registrada como elementos independientes en el Product Backlog y visible para el Product Owner. Esta práctica evita el escenario común en startups de postergar indefinidamente la deuda técnica hasta que esta empieza a frenar la velocidad de entrega de nuevas funcionalidades.</w:t>
      </w:r>
    </w:p>
    <w:p>
      <w:pPr>
        <w:pStyle w:val="Heading2"/>
        <w:spacing w:after="160" w:before="340"/>
      </w:pPr>
      <w:r>
        <w:rPr>
          <w:rFonts w:ascii="Calibri" w:cs="Calibri" w:eastAsia="Calibri" w:hAnsi="Calibri"/>
          <w:b/>
          <w:bCs/>
          <w:color w:val="1F6F4A"/>
          <w:sz w:val="26"/>
          <w:szCs w:val="26"/>
        </w:rPr>
        <w:t xml:space="preserve">7.5 Seguimiento del Avance</w:t>
      </w:r>
    </w:p>
    <w:p>
      <w:pPr>
        <w:spacing w:after="160" w:line="276"/>
        <w:jc w:val="left"/>
      </w:pPr>
      <w:r>
        <w:rPr>
          <w:rFonts w:ascii="Calibri" w:cs="Calibri" w:eastAsia="Calibri" w:hAnsi="Calibri"/>
          <w:color w:val="232323"/>
          <w:sz w:val="21"/>
          <w:szCs w:val="21"/>
        </w:rPr>
        <w:t xml:space="preserve">El progreso del equipo se hace visible mediante tres instrumentos complementarios, revisados en el Daily Scrum y analizados en profundidad en la Sprint Retrospective:</w:t>
      </w:r>
    </w:p>
    <w:p>
      <w:pPr>
        <w:pStyle w:val="ListParagraph"/>
        <w:numPr>
          <w:ilvl w:val="0"/>
          <w:numId w:val="2"/>
        </w:numPr>
        <w:spacing w:after="90" w:line="264"/>
      </w:pPr>
      <w:r>
        <w:rPr>
          <w:rFonts w:ascii="Calibri" w:cs="Calibri" w:eastAsia="Calibri" w:hAnsi="Calibri"/>
          <w:b/>
          <w:bCs/>
          <w:color w:val="232323"/>
          <w:sz w:val="21"/>
          <w:szCs w:val="21"/>
        </w:rPr>
        <w:t xml:space="preserve">Burndown chart: </w:t>
      </w:r>
      <w:r>
        <w:rPr>
          <w:rFonts w:ascii="Calibri" w:cs="Calibri" w:eastAsia="Calibri" w:hAnsi="Calibri"/>
          <w:color w:val="232323"/>
          <w:sz w:val="21"/>
          <w:szCs w:val="21"/>
        </w:rPr>
        <w:t xml:space="preserve">compara el trabajo restante (en story points) contra el tiempo transcurrido del sprint, permitiendo detectar tempranamente si el equipo está en riesgo de no completar el Sprint Goal.</w:t>
      </w:r>
    </w:p>
    <w:p>
      <w:pPr>
        <w:pStyle w:val="ListParagraph"/>
        <w:numPr>
          <w:ilvl w:val="0"/>
          <w:numId w:val="2"/>
        </w:numPr>
        <w:spacing w:after="90" w:line="264"/>
      </w:pPr>
      <w:r>
        <w:rPr>
          <w:rFonts w:ascii="Calibri" w:cs="Calibri" w:eastAsia="Calibri" w:hAnsi="Calibri"/>
          <w:b/>
          <w:bCs/>
          <w:color w:val="232323"/>
          <w:sz w:val="21"/>
          <w:szCs w:val="21"/>
        </w:rPr>
        <w:t xml:space="preserve">Velocity (velocidad): </w:t>
      </w:r>
      <w:r>
        <w:rPr>
          <w:rFonts w:ascii="Calibri" w:cs="Calibri" w:eastAsia="Calibri" w:hAnsi="Calibri"/>
          <w:color w:val="232323"/>
          <w:sz w:val="21"/>
          <w:szCs w:val="21"/>
        </w:rPr>
        <w:t xml:space="preserve">promedio de story points completados por sprint en los últimos tres a cinco sprints; una vez estabilizada, permite proyectar con mayor confiabilidad la fecha de los releases futuros.</w:t>
      </w:r>
    </w:p>
    <w:p>
      <w:pPr>
        <w:pStyle w:val="ListParagraph"/>
        <w:numPr>
          <w:ilvl w:val="0"/>
          <w:numId w:val="2"/>
        </w:numPr>
        <w:spacing w:after="90" w:line="264"/>
      </w:pPr>
      <w:r>
        <w:rPr>
          <w:rFonts w:ascii="Calibri" w:cs="Calibri" w:eastAsia="Calibri" w:hAnsi="Calibri"/>
          <w:b/>
          <w:bCs/>
          <w:color w:val="232323"/>
          <w:sz w:val="21"/>
          <w:szCs w:val="21"/>
        </w:rPr>
        <w:t xml:space="preserve">Diagrama de flujo acumulado (Cumulative Flow Diagram): </w:t>
      </w:r>
      <w:r>
        <w:rPr>
          <w:rFonts w:ascii="Calibri" w:cs="Calibri" w:eastAsia="Calibri" w:hAnsi="Calibri"/>
          <w:color w:val="232323"/>
          <w:sz w:val="21"/>
          <w:szCs w:val="21"/>
        </w:rPr>
        <w:t xml:space="preserve">visualiza cuántos elementos se encuentran en cada estado del tablero Kanban a lo largo del tiempo, ayudando a identificar cuellos de botella (por ejemplo, historias acumuladas en «En revisión de código»).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tcBorders>
              <w:top w:val="dashed" w:color="9BB8AC" w:sz="6"/>
              <w:left w:val="dashed" w:color="9BB8AC" w:sz="6"/>
              <w:bottom w:val="dashed" w:color="9BB8AC" w:sz="6"/>
              <w:right w:val="dashed" w:color="9BB8AC" w:sz="6"/>
            </w:tcBorders>
            <w:shd w:fill="F5F8F7" w:val="clear"/>
            <w:tcMar>
              <w:top w:type="dxa" w:w="260"/>
              <w:left w:type="dxa" w:w="260"/>
              <w:bottom w:type="dxa" w:w="260"/>
              <w:right w:type="dxa" w:w="260"/>
            </w:tcMar>
            <w:vAlign w:val="center"/>
          </w:tcPr>
          <w:p>
            <w:pPr>
              <w:spacing w:before="616"/>
              <w:jc w:val="center"/>
            </w:pPr>
            <w:r>
              <w:rPr>
                <w:rFonts w:ascii="Calibri" w:cs="Calibri" w:eastAsia="Calibri" w:hAnsi="Calibri"/>
                <w:color w:val="1F6F4A"/>
                <w:sz w:val="44"/>
                <w:szCs w:val="44"/>
              </w:rPr>
              <w:t xml:space="preserve">◈</w:t>
            </w:r>
          </w:p>
          <w:p>
            <w:pPr>
              <w:spacing w:before="100"/>
              <w:jc w:val="center"/>
            </w:pPr>
            <w:r>
              <w:rPr>
                <w:rFonts w:ascii="Calibri" w:cs="Calibri" w:eastAsia="Calibri" w:hAnsi="Calibri"/>
                <w:b/>
                <w:bCs/>
                <w:color w:val="173F32"/>
                <w:sz w:val="19"/>
                <w:szCs w:val="19"/>
              </w:rPr>
              <w:t xml:space="preserve">ESPACIO RESERVADO PARA IMAGEN / DISEÑO</w:t>
            </w:r>
          </w:p>
          <w:p>
            <w:pPr>
              <w:spacing w:after="616" w:before="90"/>
              <w:ind w:left="900" w:right="900"/>
              <w:jc w:val="center"/>
            </w:pPr>
            <w:r>
              <w:rPr>
                <w:rFonts w:ascii="Calibri" w:cs="Calibri" w:eastAsia="Calibri" w:hAnsi="Calibri"/>
                <w:i/>
                <w:iCs/>
                <w:color w:val="5B5B5B"/>
                <w:sz w:val="18"/>
                <w:szCs w:val="18"/>
              </w:rPr>
              <w:t xml:space="preserve">Gráfico de línea con el eje horizontal representando los 10 días hábiles del sprint y el eje vertical los story points restantes, comparando la línea ideal de referencia contra el avance real del equipo.</w:t>
            </w:r>
          </w:p>
        </w:tc>
      </w:tr>
    </w:tbl>
    <w:p>
      <w:pPr>
        <w:spacing w:after="260" w:before="80"/>
        <w:jc w:val="center"/>
      </w:pPr>
      <w:r>
        <w:rPr>
          <w:rFonts w:ascii="Calibri" w:cs="Calibri" w:eastAsia="Calibri" w:hAnsi="Calibri"/>
          <w:i/>
          <w:iCs/>
          <w:color w:val="5B5B5B"/>
          <w:sz w:val="18"/>
          <w:szCs w:val="18"/>
        </w:rPr>
        <w:t xml:space="preserve">Figura P10. Ejemplo de burndown chart de sprint.</w:t>
      </w:r>
    </w:p>
    <w:p>
      <w:pPr>
        <w:pStyle w:val="Heading2"/>
        <w:spacing w:after="160" w:before="340"/>
      </w:pPr>
      <w:r>
        <w:rPr>
          <w:rFonts w:ascii="Calibri" w:cs="Calibri" w:eastAsia="Calibri" w:hAnsi="Calibri"/>
          <w:b/>
          <w:bCs/>
          <w:color w:val="1F6F4A"/>
          <w:sz w:val="26"/>
          <w:szCs w:val="26"/>
        </w:rPr>
        <w:t xml:space="preserve">7.6 Entregables por Sprint</w:t>
      </w:r>
    </w:p>
    <w:p>
      <w:pPr>
        <w:pStyle w:val="ListParagraph"/>
        <w:numPr>
          <w:ilvl w:val="0"/>
          <w:numId w:val="2"/>
        </w:numPr>
        <w:spacing w:after="90" w:line="264"/>
      </w:pPr>
      <w:r>
        <w:rPr>
          <w:rFonts w:ascii="Calibri" w:cs="Calibri" w:eastAsia="Calibri" w:hAnsi="Calibri"/>
          <w:color w:val="232323"/>
          <w:sz w:val="21"/>
          <w:szCs w:val="21"/>
        </w:rPr>
        <w:t xml:space="preserve">Incremento de producto funcional, desplegado en el entorno de Staging y que cumple la Definición de Terminado.</w:t>
      </w:r>
    </w:p>
    <w:p>
      <w:pPr>
        <w:pStyle w:val="ListParagraph"/>
        <w:numPr>
          <w:ilvl w:val="0"/>
          <w:numId w:val="2"/>
        </w:numPr>
        <w:spacing w:after="90" w:line="264"/>
      </w:pPr>
      <w:r>
        <w:rPr>
          <w:rFonts w:ascii="Calibri" w:cs="Calibri" w:eastAsia="Calibri" w:hAnsi="Calibri"/>
          <w:color w:val="232323"/>
          <w:sz w:val="21"/>
          <w:szCs w:val="21"/>
        </w:rPr>
        <w:t xml:space="preserve">Demostración del incremento durante el Sprint Review, con retroalimentación registrada de los interesados presentes.</w:t>
      </w:r>
    </w:p>
    <w:p>
      <w:pPr>
        <w:pStyle w:val="ListParagraph"/>
        <w:numPr>
          <w:ilvl w:val="0"/>
          <w:numId w:val="2"/>
        </w:numPr>
        <w:spacing w:after="90" w:line="264"/>
      </w:pPr>
      <w:r>
        <w:rPr>
          <w:rFonts w:ascii="Calibri" w:cs="Calibri" w:eastAsia="Calibri" w:hAnsi="Calibri"/>
          <w:color w:val="232323"/>
          <w:sz w:val="21"/>
          <w:szCs w:val="21"/>
        </w:rPr>
        <w:t xml:space="preserve">Product Backlog actualizado y re-priorizado según lo aprendido durante el sprint.</w:t>
      </w:r>
    </w:p>
    <w:p>
      <w:pPr>
        <w:pStyle w:val="ListParagraph"/>
        <w:numPr>
          <w:ilvl w:val="0"/>
          <w:numId w:val="2"/>
        </w:numPr>
        <w:spacing w:after="90" w:line="264"/>
      </w:pPr>
      <w:r>
        <w:rPr>
          <w:rFonts w:ascii="Calibri" w:cs="Calibri" w:eastAsia="Calibri" w:hAnsi="Calibri"/>
          <w:color w:val="232323"/>
          <w:sz w:val="21"/>
          <w:szCs w:val="21"/>
        </w:rPr>
        <w:t xml:space="preserve">Acta breve de la Sprint Retrospective, con al menos una acción de mejora concreta para el siguiente sprint.</w:t>
      </w:r>
    </w:p>
    <w:p>
      <w:pPr>
        <w:pStyle w:val="Heading1"/>
        <w:pageBreakBefore/>
        <w:pBdr>
          <w:bottom w:val="single" w:color="1F6F4A" w:sz="14" w:space="8"/>
        </w:pBdr>
        <w:spacing w:after="260" w:before="0"/>
      </w:pPr>
      <w:r>
        <w:rPr>
          <w:rFonts w:ascii="Calibri" w:cs="Calibri" w:eastAsia="Calibri" w:hAnsi="Calibri"/>
          <w:b/>
          <w:bCs/>
          <w:color w:val="173F32"/>
          <w:sz w:val="32"/>
          <w:szCs w:val="32"/>
        </w:rPr>
        <w:t xml:space="preserve">8. Fase 5 — Aseguramiento de Calidad (QA) y Pruebas</w:t>
      </w:r>
    </w:p>
    <w:p>
      <w:pPr>
        <w:spacing w:after="160" w:line="276"/>
        <w:jc w:val="left"/>
      </w:pPr>
      <w:r>
        <w:rPr>
          <w:rFonts w:ascii="Calibri" w:cs="Calibri" w:eastAsia="Calibri" w:hAnsi="Calibri"/>
          <w:color w:val="232323"/>
          <w:sz w:val="21"/>
          <w:szCs w:val="21"/>
        </w:rPr>
        <w:t xml:space="preserve">Consistente con la práctica ágil de «desplazar la calidad hacia la izquierda» (shift-left testing), el aseguramiento de calidad no se trata como una etapa posterior y aislada del desarrollo, sino como una disciplina que ocurre </w:t>
      </w:r>
      <w:r>
        <w:rPr>
          <w:rFonts w:ascii="Calibri" w:cs="Calibri" w:eastAsia="Calibri" w:hAnsi="Calibri"/>
          <w:b/>
          <w:bCs/>
          <w:color w:val="232323"/>
          <w:sz w:val="21"/>
          <w:szCs w:val="21"/>
        </w:rPr>
        <w:t xml:space="preserve">dentro de cada sprint</w:t>
      </w:r>
      <w:r>
        <w:rPr>
          <w:rFonts w:ascii="Calibri" w:cs="Calibri" w:eastAsia="Calibri" w:hAnsi="Calibri"/>
          <w:color w:val="232323"/>
          <w:sz w:val="21"/>
          <w:szCs w:val="21"/>
        </w:rPr>
        <w:t xml:space="preserve">, en paralelo a la construcción de cada historia de usuario. Esta sección se presenta de forma independiente únicamente para efectos de documentación exhaustiva de la estrategia de pruebas.</w:t>
      </w:r>
    </w:p>
    <w:p>
      <w:pPr>
        <w:pStyle w:val="Heading2"/>
        <w:spacing w:after="160" w:before="340"/>
      </w:pPr>
      <w:r>
        <w:rPr>
          <w:rFonts w:ascii="Calibri" w:cs="Calibri" w:eastAsia="Calibri" w:hAnsi="Calibri"/>
          <w:b/>
          <w:bCs/>
          <w:color w:val="1F6F4A"/>
          <w:sz w:val="26"/>
          <w:szCs w:val="26"/>
        </w:rPr>
        <w:t xml:space="preserve">8.1 Estrategia de Pruebas — Pirámide de Pruebas</w:t>
      </w:r>
    </w:p>
    <w:p>
      <w:pPr>
        <w:spacing w:after="160" w:line="276"/>
        <w:jc w:val="left"/>
      </w:pPr>
      <w:r>
        <w:rPr>
          <w:rFonts w:ascii="Calibri" w:cs="Calibri" w:eastAsia="Calibri" w:hAnsi="Calibri"/>
          <w:color w:val="232323"/>
          <w:sz w:val="21"/>
          <w:szCs w:val="21"/>
        </w:rPr>
        <w:t xml:space="preserve">El equipo adopta el modelo de pirámide de pruebas: una base amplia de pruebas unitarias (rápidas y económicas de mantener), una capa intermedia de pruebas de integración, y una cúspide reducida de pruebas de extremo a extremo (E2E), más lentas y costosas de mantener, reservadas para los flujos críticos de negocio.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tcBorders>
              <w:top w:val="dashed" w:color="9BB8AC" w:sz="6"/>
              <w:left w:val="dashed" w:color="9BB8AC" w:sz="6"/>
              <w:bottom w:val="dashed" w:color="9BB8AC" w:sz="6"/>
              <w:right w:val="dashed" w:color="9BB8AC" w:sz="6"/>
            </w:tcBorders>
            <w:shd w:fill="F5F8F7" w:val="clear"/>
            <w:tcMar>
              <w:top w:type="dxa" w:w="260"/>
              <w:left w:type="dxa" w:w="260"/>
              <w:bottom w:type="dxa" w:w="260"/>
              <w:right w:type="dxa" w:w="260"/>
            </w:tcMar>
            <w:vAlign w:val="center"/>
          </w:tcPr>
          <w:p>
            <w:pPr>
              <w:spacing w:before="616"/>
              <w:jc w:val="center"/>
            </w:pPr>
            <w:r>
              <w:rPr>
                <w:rFonts w:ascii="Calibri" w:cs="Calibri" w:eastAsia="Calibri" w:hAnsi="Calibri"/>
                <w:color w:val="1F6F4A"/>
                <w:sz w:val="44"/>
                <w:szCs w:val="44"/>
              </w:rPr>
              <w:t xml:space="preserve">◈</w:t>
            </w:r>
          </w:p>
          <w:p>
            <w:pPr>
              <w:spacing w:before="100"/>
              <w:jc w:val="center"/>
            </w:pPr>
            <w:r>
              <w:rPr>
                <w:rFonts w:ascii="Calibri" w:cs="Calibri" w:eastAsia="Calibri" w:hAnsi="Calibri"/>
                <w:b/>
                <w:bCs/>
                <w:color w:val="173F32"/>
                <w:sz w:val="19"/>
                <w:szCs w:val="19"/>
              </w:rPr>
              <w:t xml:space="preserve">ESPACIO RESERVADO PARA IMAGEN / DISEÑO</w:t>
            </w:r>
          </w:p>
          <w:p>
            <w:pPr>
              <w:spacing w:after="616" w:before="90"/>
              <w:ind w:left="900" w:right="900"/>
              <w:jc w:val="center"/>
            </w:pPr>
            <w:r>
              <w:rPr>
                <w:rFonts w:ascii="Calibri" w:cs="Calibri" w:eastAsia="Calibri" w:hAnsi="Calibri"/>
                <w:i/>
                <w:iCs/>
                <w:color w:val="5B5B5B"/>
                <w:sz w:val="18"/>
                <w:szCs w:val="18"/>
              </w:rPr>
              <w:t xml:space="preserve">Pirámide de tres niveles: base de pruebas unitarias (mayor cantidad, ejecución en segundos), nivel intermedio de pruebas de integración, y cúspide de pruebas E2E sobre los flujos de búsqueda, reserva, pago y generación de cuadros de campeonato.</w:t>
            </w:r>
          </w:p>
        </w:tc>
      </w:tr>
    </w:tbl>
    <w:p>
      <w:pPr>
        <w:spacing w:after="260" w:before="80"/>
        <w:jc w:val="center"/>
      </w:pPr>
      <w:r>
        <w:rPr>
          <w:rFonts w:ascii="Calibri" w:cs="Calibri" w:eastAsia="Calibri" w:hAnsi="Calibri"/>
          <w:i/>
          <w:iCs/>
          <w:color w:val="5B5B5B"/>
          <w:sz w:val="18"/>
          <w:szCs w:val="18"/>
        </w:rPr>
        <w:t xml:space="preserve">Figura P11. Pirámide de pruebas adoptada para KanchaYA.</w:t>
      </w:r>
    </w:p>
    <w:p>
      <w:pPr>
        <w:pStyle w:val="Heading2"/>
        <w:spacing w:after="160" w:before="340"/>
      </w:pPr>
      <w:r>
        <w:rPr>
          <w:rFonts w:ascii="Calibri" w:cs="Calibri" w:eastAsia="Calibri" w:hAnsi="Calibri"/>
          <w:b/>
          <w:bCs/>
          <w:color w:val="1F6F4A"/>
          <w:sz w:val="26"/>
          <w:szCs w:val="26"/>
        </w:rPr>
        <w:t xml:space="preserve">8.2 Pruebas Funcionales</w:t>
      </w:r>
    </w:p>
    <w:p>
      <w:pPr>
        <w:pStyle w:val="ListParagraph"/>
        <w:numPr>
          <w:ilvl w:val="0"/>
          <w:numId w:val="2"/>
        </w:numPr>
        <w:spacing w:after="90" w:line="264"/>
      </w:pPr>
      <w:r>
        <w:rPr>
          <w:rFonts w:ascii="Calibri" w:cs="Calibri" w:eastAsia="Calibri" w:hAnsi="Calibri"/>
          <w:b/>
          <w:bCs/>
          <w:color w:val="232323"/>
          <w:sz w:val="21"/>
          <w:szCs w:val="21"/>
        </w:rPr>
        <w:t xml:space="preserve">Pruebas unitarias (Jest): </w:t>
      </w:r>
      <w:r>
        <w:rPr>
          <w:rFonts w:ascii="Calibri" w:cs="Calibri" w:eastAsia="Calibri" w:hAnsi="Calibri"/>
          <w:color w:val="232323"/>
          <w:sz w:val="21"/>
          <w:szCs w:val="21"/>
        </w:rPr>
        <w:t xml:space="preserve">verifican la lógica de negocio de cada función o clase de forma aislada; se ejecutan en cada pull request y forman parte del pipeline CI/CD (sección 6.3).</w:t>
      </w:r>
    </w:p>
    <w:p>
      <w:pPr>
        <w:pStyle w:val="ListParagraph"/>
        <w:numPr>
          <w:ilvl w:val="0"/>
          <w:numId w:val="2"/>
        </w:numPr>
        <w:spacing w:after="90" w:line="264"/>
      </w:pPr>
      <w:r>
        <w:rPr>
          <w:rFonts w:ascii="Calibri" w:cs="Calibri" w:eastAsia="Calibri" w:hAnsi="Calibri"/>
          <w:b/>
          <w:bCs/>
          <w:color w:val="232323"/>
          <w:sz w:val="21"/>
          <w:szCs w:val="21"/>
        </w:rPr>
        <w:t xml:space="preserve">Pruebas de integración: </w:t>
      </w:r>
      <w:r>
        <w:rPr>
          <w:rFonts w:ascii="Calibri" w:cs="Calibri" w:eastAsia="Calibri" w:hAnsi="Calibri"/>
          <w:color w:val="232323"/>
          <w:sz w:val="21"/>
          <w:szCs w:val="21"/>
        </w:rPr>
        <w:t xml:space="preserve">verifican la interacción entre un microservicio y sus dependencias directas (base de datos, caché, otro microservicio), detectando errores de contrato que las pruebas unitarias no cubren.</w:t>
      </w:r>
    </w:p>
    <w:p>
      <w:pPr>
        <w:pStyle w:val="ListParagraph"/>
        <w:numPr>
          <w:ilvl w:val="0"/>
          <w:numId w:val="2"/>
        </w:numPr>
        <w:spacing w:after="90" w:line="264"/>
      </w:pPr>
      <w:r>
        <w:rPr>
          <w:rFonts w:ascii="Calibri" w:cs="Calibri" w:eastAsia="Calibri" w:hAnsi="Calibri"/>
          <w:b/>
          <w:bCs/>
          <w:color w:val="232323"/>
          <w:sz w:val="21"/>
          <w:szCs w:val="21"/>
        </w:rPr>
        <w:t xml:space="preserve">Pruebas de aceptación / extremo a extremo (Cypress o Playwright): </w:t>
      </w:r>
      <w:r>
        <w:rPr>
          <w:rFonts w:ascii="Calibri" w:cs="Calibri" w:eastAsia="Calibri" w:hAnsi="Calibri"/>
          <w:color w:val="232323"/>
          <w:sz w:val="21"/>
          <w:szCs w:val="21"/>
        </w:rPr>
        <w:t xml:space="preserve">automatizan los criterios de aceptación redactados en formato Gherkin durante la Fase 1 (sección 4.4.2), simulando el recorrido real del usuario en un navegador o dispositivo.</w:t>
      </w:r>
    </w:p>
    <w:p>
      <w:pPr>
        <w:pStyle w:val="ListParagraph"/>
        <w:numPr>
          <w:ilvl w:val="0"/>
          <w:numId w:val="2"/>
        </w:numPr>
        <w:spacing w:after="90" w:line="264"/>
      </w:pPr>
      <w:r>
        <w:rPr>
          <w:rFonts w:ascii="Calibri" w:cs="Calibri" w:eastAsia="Calibri" w:hAnsi="Calibri"/>
          <w:b/>
          <w:bCs/>
          <w:color w:val="232323"/>
          <w:sz w:val="21"/>
          <w:szCs w:val="21"/>
        </w:rPr>
        <w:t xml:space="preserve">Pruebas de regresión automatizada: </w:t>
      </w:r>
      <w:r>
        <w:rPr>
          <w:rFonts w:ascii="Calibri" w:cs="Calibri" w:eastAsia="Calibri" w:hAnsi="Calibri"/>
          <w:color w:val="232323"/>
          <w:sz w:val="21"/>
          <w:szCs w:val="21"/>
        </w:rPr>
        <w:t xml:space="preserve">se ejecuta la batería completa de pruebas antes de cada despliegue a producción, garantizando que un cambio nuevo no rompa una funcionalidad ya existente.</w:t>
      </w:r>
    </w:p>
    <w:p>
      <w:pPr>
        <w:pStyle w:val="Heading2"/>
        <w:spacing w:after="160" w:before="340"/>
      </w:pPr>
      <w:r>
        <w:rPr>
          <w:rFonts w:ascii="Calibri" w:cs="Calibri" w:eastAsia="Calibri" w:hAnsi="Calibri"/>
          <w:b/>
          <w:bCs/>
          <w:color w:val="1F6F4A"/>
          <w:sz w:val="26"/>
          <w:szCs w:val="26"/>
        </w:rPr>
        <w:t xml:space="preserve">8.3 Pruebas No Funcionales</w:t>
      </w:r>
    </w:p>
    <w:p>
      <w:pPr>
        <w:pStyle w:val="Heading3"/>
        <w:spacing w:after="120" w:before="260"/>
      </w:pPr>
      <w:r>
        <w:rPr>
          <w:rFonts w:ascii="Calibri" w:cs="Calibri" w:eastAsia="Calibri" w:hAnsi="Calibri"/>
          <w:b/>
          <w:bCs/>
          <w:color w:val="2C4A3E"/>
          <w:sz w:val="23"/>
          <w:szCs w:val="23"/>
        </w:rPr>
        <w:t xml:space="preserve">8.3.1 Pruebas de Carga y Rendimiento</w:t>
      </w:r>
    </w:p>
    <w:p>
      <w:pPr>
        <w:spacing w:after="160" w:line="276"/>
        <w:jc w:val="left"/>
      </w:pPr>
      <w:r>
        <w:rPr>
          <w:rFonts w:ascii="Calibri" w:cs="Calibri" w:eastAsia="Calibri" w:hAnsi="Calibri"/>
          <w:color w:val="232323"/>
          <w:sz w:val="21"/>
          <w:szCs w:val="21"/>
        </w:rPr>
        <w:t xml:space="preserve">Utilizando herramientas como k6 o JMeter, se simulan los picos de demanda característicos de la operación (fines de semana y el lanzamiento de un campeonato masivo, según se anticipa en la sección 7.5 del Plan de Negocios), verificando que el sistema cumple el requerimiento no funcional de tiempo de respuesta (sección 4.3.2) incluso bajo carga elevada.</w:t>
      </w:r>
    </w:p>
    <w:p>
      <w:pPr>
        <w:pStyle w:val="Heading3"/>
        <w:spacing w:after="120" w:before="260"/>
      </w:pPr>
      <w:r>
        <w:rPr>
          <w:rFonts w:ascii="Calibri" w:cs="Calibri" w:eastAsia="Calibri" w:hAnsi="Calibri"/>
          <w:b/>
          <w:bCs/>
          <w:color w:val="2C4A3E"/>
          <w:sz w:val="23"/>
          <w:szCs w:val="23"/>
        </w:rPr>
        <w:t xml:space="preserve">8.3.2 Pruebas de Seguridad</w:t>
      </w:r>
    </w:p>
    <w:p>
      <w:pPr>
        <w:spacing w:after="160" w:line="276"/>
        <w:jc w:val="left"/>
      </w:pPr>
      <w:r>
        <w:rPr>
          <w:rFonts w:ascii="Calibri" w:cs="Calibri" w:eastAsia="Calibri" w:hAnsi="Calibri"/>
          <w:color w:val="232323"/>
          <w:sz w:val="21"/>
          <w:szCs w:val="21"/>
        </w:rPr>
        <w:t xml:space="preserve">Se adoptan las buenas prácticas del Open Web Application Security Project (OWASP), ya referenciadas en la sección 7.4 del Plan de Negocios, mediante análisis estático automatizado (SAST) en cada pull request y una prueba de penetración (pentesting) manual o semiautomatizada antes de cada release mayor, con atención especial a los diez riesgos del OWASP Top 10 y a la correcta tokenización de datos de pago.</w:t>
      </w:r>
    </w:p>
    <w:p>
      <w:pPr>
        <w:pStyle w:val="Heading3"/>
        <w:spacing w:after="120" w:before="260"/>
      </w:pPr>
      <w:r>
        <w:rPr>
          <w:rFonts w:ascii="Calibri" w:cs="Calibri" w:eastAsia="Calibri" w:hAnsi="Calibri"/>
          <w:b/>
          <w:bCs/>
          <w:color w:val="2C4A3E"/>
          <w:sz w:val="23"/>
          <w:szCs w:val="23"/>
        </w:rPr>
        <w:t xml:space="preserve">8.3.3 Pruebas de Usabilidad y Accesibilidad</w:t>
      </w:r>
    </w:p>
    <w:p>
      <w:pPr>
        <w:spacing w:after="160" w:line="276"/>
        <w:jc w:val="left"/>
      </w:pPr>
      <w:r>
        <w:rPr>
          <w:rFonts w:ascii="Calibri" w:cs="Calibri" w:eastAsia="Calibri" w:hAnsi="Calibri"/>
          <w:color w:val="232323"/>
          <w:sz w:val="21"/>
          <w:szCs w:val="21"/>
        </w:rPr>
        <w:t xml:space="preserve">Complementan las pruebas de usabilidad ya realizadas sobre el prototipo en la Fase 2 (sección 5.1.5), esta vez sobre el producto funcional real. Se recomienda una revisión progresiva de accesibilidad conforme a las pautas WCAG 2.1 nivel AA, priorizando el contraste de color y el tamaño de los elementos táctiles dado el perfil heterogéneo de alfabetización digital descrito en la sección 5.5 del Plan de Negocios.</w:t>
      </w:r>
    </w:p>
    <w:p>
      <w:pPr>
        <w:pStyle w:val="Heading2"/>
        <w:spacing w:after="160" w:before="340"/>
      </w:pPr>
      <w:r>
        <w:rPr>
          <w:rFonts w:ascii="Calibri" w:cs="Calibri" w:eastAsia="Calibri" w:hAnsi="Calibri"/>
          <w:b/>
          <w:bCs/>
          <w:color w:val="1F6F4A"/>
          <w:sz w:val="26"/>
          <w:szCs w:val="26"/>
        </w:rPr>
        <w:t xml:space="preserve">8.4 Gestión de Defectos</w:t>
      </w:r>
    </w:p>
    <w:p>
      <w:pPr>
        <w:spacing w:after="160" w:line="276"/>
        <w:jc w:val="left"/>
      </w:pPr>
      <w:r>
        <w:rPr>
          <w:rFonts w:ascii="Calibri" w:cs="Calibri" w:eastAsia="Calibri" w:hAnsi="Calibri"/>
          <w:color w:val="232323"/>
          <w:sz w:val="21"/>
          <w:szCs w:val="21"/>
        </w:rPr>
        <w:t xml:space="preserve">Todo defecto detectado se clasifica por severidad, lo que determina su tiempo objetivo de resolución (SLA interno):</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1512"/>
        <w:gridCol w:w="3780"/>
        <w:gridCol w:w="3780"/>
      </w:tblGrid>
      <w:tr>
        <w:trPr>
          <w:cantSplit/>
          <w:tblHeader/>
        </w:trPr>
        <w:tc>
          <w:tcPr>
            <w:tcW w:type="dxa" w:w="1512"/>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Severidad</w:t>
            </w:r>
          </w:p>
        </w:tc>
        <w:tc>
          <w:tcPr>
            <w:tcW w:type="dxa" w:w="3780"/>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Descripción</w:t>
            </w:r>
          </w:p>
        </w:tc>
        <w:tc>
          <w:tcPr>
            <w:tcW w:type="dxa" w:w="3780"/>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SLA de resolución objetivo</w:t>
            </w:r>
          </w:p>
        </w:tc>
      </w:tr>
      <w:tr>
        <w:trPr>
          <w:cantSplit/>
        </w:trPr>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Crítica</w:t>
            </w:r>
          </w:p>
        </w:tc>
        <w:tc>
          <w:tcPr>
            <w:tcW w:type="dxa" w:w="3780"/>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Impide el uso del sistema o compromete datos financieros/personales (por ejemplo, doble cobro)</w:t>
            </w:r>
          </w:p>
        </w:tc>
        <w:tc>
          <w:tcPr>
            <w:tcW w:type="dxa" w:w="3780"/>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Inmediata — se activa el protocolo de hotfix (sección 10.4.1)</w:t>
            </w:r>
          </w:p>
        </w:tc>
      </w:tr>
      <w:tr>
        <w:trPr>
          <w:cantSplit/>
        </w:trPr>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Alta</w:t>
            </w:r>
          </w:p>
        </w:tc>
        <w:tc>
          <w:tcPr>
            <w:tcW w:type="dxa" w:w="3780"/>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Afecta un flujo principal (reserva, pago) sin bloquear completamente el sistema</w:t>
            </w:r>
          </w:p>
        </w:tc>
        <w:tc>
          <w:tcPr>
            <w:tcW w:type="dxa" w:w="3780"/>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Dentro del sprint en curso</w:t>
            </w:r>
          </w:p>
        </w:tc>
      </w:tr>
      <w:tr>
        <w:trPr>
          <w:cantSplit/>
        </w:trPr>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Media</w:t>
            </w:r>
          </w:p>
        </w:tc>
        <w:tc>
          <w:tcPr>
            <w:tcW w:type="dxa" w:w="3780"/>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Afecta una funcionalidad secundaria con solución alternativa (workaround) disponible</w:t>
            </w:r>
          </w:p>
        </w:tc>
        <w:tc>
          <w:tcPr>
            <w:tcW w:type="dxa" w:w="3780"/>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Priorizado para el siguiente sprint</w:t>
            </w:r>
          </w:p>
        </w:tc>
      </w:tr>
      <w:tr>
        <w:trPr>
          <w:cantSplit/>
        </w:trPr>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Baja</w:t>
            </w:r>
          </w:p>
        </w:tc>
        <w:tc>
          <w:tcPr>
            <w:tcW w:type="dxa" w:w="3780"/>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Defecto cosmético o de bajo impacto en la experiencia de usuario</w:t>
            </w:r>
          </w:p>
        </w:tc>
        <w:tc>
          <w:tcPr>
            <w:tcW w:type="dxa" w:w="3780"/>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Incorporado al Product Backlog según prioridad</w:t>
            </w:r>
          </w:p>
        </w:tc>
      </w:tr>
    </w:tbl>
    <w:p>
      <w:pPr>
        <w:spacing w:after="160"/>
      </w:pPr>
    </w:p>
    <w:p>
      <w:pPr>
        <w:pStyle w:val="Heading2"/>
        <w:spacing w:after="160" w:before="340"/>
      </w:pPr>
      <w:r>
        <w:rPr>
          <w:rFonts w:ascii="Calibri" w:cs="Calibri" w:eastAsia="Calibri" w:hAnsi="Calibri"/>
          <w:b/>
          <w:bCs/>
          <w:color w:val="1F6F4A"/>
          <w:sz w:val="26"/>
          <w:szCs w:val="26"/>
        </w:rPr>
        <w:t xml:space="preserve">8.5 Criterios de Aceptación de Sprint — Ampliación del DoD con QA</w:t>
      </w:r>
    </w:p>
    <w:p>
      <w:pPr>
        <w:spacing w:after="160" w:line="276"/>
        <w:jc w:val="left"/>
      </w:pPr>
      <w:r>
        <w:rPr>
          <w:rFonts w:ascii="Calibri" w:cs="Calibri" w:eastAsia="Calibri" w:hAnsi="Calibri"/>
          <w:color w:val="232323"/>
          <w:sz w:val="21"/>
          <w:szCs w:val="21"/>
        </w:rPr>
        <w:t xml:space="preserve">Complementando la Definición de Terminado presentada en la sección 3.6.2, ningún incremento se considera apto para el Sprint Review si:</w:t>
      </w:r>
    </w:p>
    <w:p>
      <w:pPr>
        <w:pStyle w:val="ListParagraph"/>
        <w:numPr>
          <w:ilvl w:val="0"/>
          <w:numId w:val="2"/>
        </w:numPr>
        <w:spacing w:after="90" w:line="264"/>
      </w:pPr>
      <w:r>
        <w:rPr>
          <w:rFonts w:ascii="Calibri" w:cs="Calibri" w:eastAsia="Calibri" w:hAnsi="Calibri"/>
          <w:color w:val="232323"/>
          <w:sz w:val="21"/>
          <w:szCs w:val="21"/>
        </w:rPr>
        <w:t xml:space="preserve">Existen defectos abiertos de severidad crítica o alta asociados a la funcionalidad desarrollada en el sprint.</w:t>
      </w:r>
    </w:p>
    <w:p>
      <w:pPr>
        <w:pStyle w:val="ListParagraph"/>
        <w:numPr>
          <w:ilvl w:val="0"/>
          <w:numId w:val="2"/>
        </w:numPr>
        <w:spacing w:after="90" w:line="264"/>
      </w:pPr>
      <w:r>
        <w:rPr>
          <w:rFonts w:ascii="Calibri" w:cs="Calibri" w:eastAsia="Calibri" w:hAnsi="Calibri"/>
          <w:color w:val="232323"/>
          <w:sz w:val="21"/>
          <w:szCs w:val="21"/>
        </w:rPr>
        <w:t xml:space="preserve">La cobertura de pruebas automatizadas del microservicio afectado desciende por debajo del umbral objetivo del 80 % definido en la sección 4.3.2.</w:t>
      </w:r>
    </w:p>
    <w:p>
      <w:pPr>
        <w:pStyle w:val="ListParagraph"/>
        <w:numPr>
          <w:ilvl w:val="0"/>
          <w:numId w:val="2"/>
        </w:numPr>
        <w:spacing w:after="90" w:line="264"/>
      </w:pPr>
      <w:r>
        <w:rPr>
          <w:rFonts w:ascii="Calibri" w:cs="Calibri" w:eastAsia="Calibri" w:hAnsi="Calibri"/>
          <w:color w:val="232323"/>
          <w:sz w:val="21"/>
          <w:szCs w:val="21"/>
        </w:rPr>
        <w:t xml:space="preserve">Las pruebas de aceptación (E2E) correspondientes a los criterios Gherkin de la historia de usuario no han sido automatizadas o no pasan de forma consistente.</w:t>
      </w:r>
    </w:p>
    <w:p>
      <w:pPr>
        <w:pStyle w:val="Heading2"/>
        <w:spacing w:after="160" w:before="340"/>
      </w:pPr>
      <w:r>
        <w:rPr>
          <w:rFonts w:ascii="Calibri" w:cs="Calibri" w:eastAsia="Calibri" w:hAnsi="Calibri"/>
          <w:b/>
          <w:bCs/>
          <w:color w:val="1F6F4A"/>
          <w:sz w:val="26"/>
          <w:szCs w:val="26"/>
        </w:rPr>
        <w:t xml:space="preserve">8.6 Entregables de la Fase</w:t>
      </w:r>
    </w:p>
    <w:p>
      <w:pPr>
        <w:pStyle w:val="ListParagraph"/>
        <w:numPr>
          <w:ilvl w:val="0"/>
          <w:numId w:val="2"/>
        </w:numPr>
        <w:spacing w:after="90" w:line="264"/>
      </w:pPr>
      <w:r>
        <w:rPr>
          <w:rFonts w:ascii="Calibri" w:cs="Calibri" w:eastAsia="Calibri" w:hAnsi="Calibri"/>
          <w:color w:val="232323"/>
          <w:sz w:val="21"/>
          <w:szCs w:val="21"/>
        </w:rPr>
        <w:t xml:space="preserve">Plan de pruebas por release, incluyendo alcance de pruebas funcionales y no funcionales.</w:t>
      </w:r>
    </w:p>
    <w:p>
      <w:pPr>
        <w:pStyle w:val="ListParagraph"/>
        <w:numPr>
          <w:ilvl w:val="0"/>
          <w:numId w:val="2"/>
        </w:numPr>
        <w:spacing w:after="90" w:line="264"/>
      </w:pPr>
      <w:r>
        <w:rPr>
          <w:rFonts w:ascii="Calibri" w:cs="Calibri" w:eastAsia="Calibri" w:hAnsi="Calibri"/>
          <w:color w:val="232323"/>
          <w:sz w:val="21"/>
          <w:szCs w:val="21"/>
        </w:rPr>
        <w:t xml:space="preserve">Reportes de cobertura de pruebas automatizadas, generados en cada ejecución del pipeline CI/CD.</w:t>
      </w:r>
    </w:p>
    <w:p>
      <w:pPr>
        <w:pStyle w:val="ListParagraph"/>
        <w:numPr>
          <w:ilvl w:val="0"/>
          <w:numId w:val="2"/>
        </w:numPr>
        <w:spacing w:after="90" w:line="264"/>
      </w:pPr>
      <w:r>
        <w:rPr>
          <w:rFonts w:ascii="Calibri" w:cs="Calibri" w:eastAsia="Calibri" w:hAnsi="Calibri"/>
          <w:color w:val="232323"/>
          <w:sz w:val="21"/>
          <w:szCs w:val="21"/>
        </w:rPr>
        <w:t xml:space="preserve">Informe de pruebas de carga previo a cada release mayor.</w:t>
      </w:r>
    </w:p>
    <w:p>
      <w:pPr>
        <w:pStyle w:val="ListParagraph"/>
        <w:numPr>
          <w:ilvl w:val="0"/>
          <w:numId w:val="2"/>
        </w:numPr>
        <w:spacing w:after="90" w:line="264"/>
      </w:pPr>
      <w:r>
        <w:rPr>
          <w:rFonts w:ascii="Calibri" w:cs="Calibri" w:eastAsia="Calibri" w:hAnsi="Calibri"/>
          <w:color w:val="232323"/>
          <w:sz w:val="21"/>
          <w:szCs w:val="21"/>
        </w:rPr>
        <w:t xml:space="preserve">Informe de pentesting previo al Release 2 (piloto) y al Release 3 (lanzamiento comercial).</w:t>
      </w:r>
    </w:p>
    <w:p>
      <w:pPr>
        <w:pStyle w:val="Heading1"/>
        <w:pageBreakBefore/>
        <w:pBdr>
          <w:bottom w:val="single" w:color="1F6F4A" w:sz="14" w:space="8"/>
        </w:pBdr>
        <w:spacing w:after="260" w:before="0"/>
      </w:pPr>
      <w:r>
        <w:rPr>
          <w:rFonts w:ascii="Calibri" w:cs="Calibri" w:eastAsia="Calibri" w:hAnsi="Calibri"/>
          <w:b/>
          <w:bCs/>
          <w:color w:val="173F32"/>
          <w:sz w:val="32"/>
          <w:szCs w:val="32"/>
        </w:rPr>
        <w:t xml:space="preserve">9. Fase 6 — Despliegue y Puesta en Producción</w:t>
      </w:r>
    </w:p>
    <w:p>
      <w:pPr>
        <w:spacing w:after="160" w:line="276"/>
        <w:jc w:val="left"/>
      </w:pPr>
      <w:r>
        <w:rPr>
          <w:rFonts w:ascii="Calibri" w:cs="Calibri" w:eastAsia="Calibri" w:hAnsi="Calibri"/>
          <w:color w:val="232323"/>
          <w:sz w:val="21"/>
          <w:szCs w:val="21"/>
        </w:rPr>
        <w:t xml:space="preserve">Esta fase cubre el paso de un incremento validado en Staging hacia el entorno de producción, donde interactúa por primera vez con deportistas y centros deportivos reales. A diferencia de un despliegue tradicional de «gran explosión» (big bang), se privilegian estrategias de liberación gradual y reversible, coherentes con el enfoque incremental de todo el proyecto.</w:t>
      </w:r>
    </w:p>
    <w:p>
      <w:pPr>
        <w:pStyle w:val="Heading2"/>
        <w:spacing w:after="160" w:before="340"/>
      </w:pPr>
      <w:r>
        <w:rPr>
          <w:rFonts w:ascii="Calibri" w:cs="Calibri" w:eastAsia="Calibri" w:hAnsi="Calibri"/>
          <w:b/>
          <w:bCs/>
          <w:color w:val="1F6F4A"/>
          <w:sz w:val="26"/>
          <w:szCs w:val="26"/>
        </w:rPr>
        <w:t xml:space="preserve">9.1 Estrategia de Despliegue</w:t>
      </w:r>
    </w:p>
    <w:p>
      <w:pPr>
        <w:pStyle w:val="Heading3"/>
        <w:spacing w:after="120" w:before="260"/>
      </w:pPr>
      <w:r>
        <w:rPr>
          <w:rFonts w:ascii="Calibri" w:cs="Calibri" w:eastAsia="Calibri" w:hAnsi="Calibri"/>
          <w:b/>
          <w:bCs/>
          <w:color w:val="2C4A3E"/>
          <w:sz w:val="23"/>
          <w:szCs w:val="23"/>
        </w:rPr>
        <w:t xml:space="preserve">9.1.1 Blue-Green Deployment y Canary Release</w:t>
      </w:r>
    </w:p>
    <w:p>
      <w:pPr>
        <w:spacing w:after="160" w:line="276"/>
        <w:jc w:val="left"/>
      </w:pPr>
      <w:r>
        <w:rPr>
          <w:rFonts w:ascii="Calibri" w:cs="Calibri" w:eastAsia="Calibri" w:hAnsi="Calibri"/>
          <w:color w:val="232323"/>
          <w:sz w:val="21"/>
          <w:szCs w:val="21"/>
        </w:rPr>
        <w:t xml:space="preserve">Para los despliegues del backend, se recomienda una estrategia </w:t>
      </w:r>
      <w:r>
        <w:rPr>
          <w:rFonts w:ascii="Calibri" w:cs="Calibri" w:eastAsia="Calibri" w:hAnsi="Calibri"/>
          <w:b/>
          <w:bCs/>
          <w:color w:val="232323"/>
          <w:sz w:val="21"/>
          <w:szCs w:val="21"/>
        </w:rPr>
        <w:t xml:space="preserve">blue-green</w:t>
      </w:r>
      <w:r>
        <w:rPr>
          <w:rFonts w:ascii="Calibri" w:cs="Calibri" w:eastAsia="Calibri" w:hAnsi="Calibri"/>
          <w:color w:val="232323"/>
          <w:sz w:val="21"/>
          <w:szCs w:val="21"/>
        </w:rPr>
        <w:t xml:space="preserve">: se mantiene una segunda versión completa de la infraestructura («green») en paralelo a la que sirve tráfico en ese momento («blue»); una vez verificado que la nueva versión responde correctamente, el tráfico se redirige de forma instantánea, y la versión anterior queda disponible para una reversión inmediata si se detecta un problema. Para funcionalidades de mayor riesgo (por ejemplo, un cambio en el algoritmo de generación de cuadros de competencia), se recomienda complementar con un </w:t>
      </w:r>
      <w:r>
        <w:rPr>
          <w:rFonts w:ascii="Calibri" w:cs="Calibri" w:eastAsia="Calibri" w:hAnsi="Calibri"/>
          <w:b/>
          <w:bCs/>
          <w:color w:val="232323"/>
          <w:sz w:val="21"/>
          <w:szCs w:val="21"/>
        </w:rPr>
        <w:t xml:space="preserve">canary release</w:t>
      </w:r>
      <w:r>
        <w:rPr>
          <w:rFonts w:ascii="Calibri" w:cs="Calibri" w:eastAsia="Calibri" w:hAnsi="Calibri"/>
          <w:color w:val="232323"/>
          <w:sz w:val="21"/>
          <w:szCs w:val="21"/>
        </w:rPr>
        <w:t xml:space="preserve">: liberar el cambio inicialmente a un porcentaje reducido de usuarios o a un subconjunto de centros piloto, antes de expandirlo al 100 % del tráfico.</w:t>
      </w:r>
    </w:p>
    <w:p>
      <w:pPr>
        <w:pStyle w:val="Heading3"/>
        <w:spacing w:after="120" w:before="260"/>
      </w:pPr>
      <w:r>
        <w:rPr>
          <w:rFonts w:ascii="Calibri" w:cs="Calibri" w:eastAsia="Calibri" w:hAnsi="Calibri"/>
          <w:b/>
          <w:bCs/>
          <w:color w:val="2C4A3E"/>
          <w:sz w:val="23"/>
          <w:szCs w:val="23"/>
        </w:rPr>
        <w:t xml:space="preserve">9.1.2 Feature Flags (Interruptores de Funcionalidad)</w:t>
      </w:r>
    </w:p>
    <w:p>
      <w:pPr>
        <w:spacing w:after="160" w:line="276"/>
        <w:jc w:val="left"/>
      </w:pPr>
      <w:r>
        <w:rPr>
          <w:rFonts w:ascii="Calibri" w:cs="Calibri" w:eastAsia="Calibri" w:hAnsi="Calibri"/>
          <w:color w:val="232323"/>
          <w:sz w:val="21"/>
          <w:szCs w:val="21"/>
        </w:rPr>
        <w:t xml:space="preserve">El uso de feature flags permite integrar código a producción sin activarlo inmediatamente para todos los usuarios, desacoplando el despliegue técnico de la liberación funcional. Esto resulta particularmente útil para activar el módulo de campeonatos primero con las instituciones piloto antes de habilitarlo para el público general, o para desactivar instantáneamente una funcionalidad problemática sin necesidad de un nuevo despliegue.</w:t>
      </w:r>
    </w:p>
    <w:p>
      <w:pPr>
        <w:pStyle w:val="Heading2"/>
        <w:spacing w:after="160" w:before="340"/>
      </w:pPr>
      <w:r>
        <w:rPr>
          <w:rFonts w:ascii="Calibri" w:cs="Calibri" w:eastAsia="Calibri" w:hAnsi="Calibri"/>
          <w:b/>
          <w:bCs/>
          <w:color w:val="1F6F4A"/>
          <w:sz w:val="26"/>
          <w:szCs w:val="26"/>
        </w:rPr>
        <w:t xml:space="preserve">9.2 Plan de Migración de Datos</w:t>
      </w:r>
    </w:p>
    <w:p>
      <w:pPr>
        <w:spacing w:after="160" w:line="276"/>
        <w:jc w:val="left"/>
      </w:pPr>
      <w:r>
        <w:rPr>
          <w:rFonts w:ascii="Calibri" w:cs="Calibri" w:eastAsia="Calibri" w:hAnsi="Calibri"/>
          <w:color w:val="232323"/>
          <w:sz w:val="21"/>
          <w:szCs w:val="21"/>
        </w:rPr>
        <w:t xml:space="preserve">A diferencia de proyectos que reemplazan un sistema legado, KanchaYA no migra datos desde un sistema estructurado preexistente: el estado actual del mercado cusqueño, descrito en la sección 2.1 del Plan de Negocios, se basa en cuadernos físicos y coordinación por WhatsApp. Esta ausencia de datos heredados reduce el riesgo típico de migración, pero exige un proceso de </w:t>
      </w:r>
      <w:r>
        <w:rPr>
          <w:rFonts w:ascii="Calibri" w:cs="Calibri" w:eastAsia="Calibri" w:hAnsi="Calibri"/>
          <w:b/>
          <w:bCs/>
          <w:color w:val="232323"/>
          <w:sz w:val="21"/>
          <w:szCs w:val="21"/>
        </w:rPr>
        <w:t xml:space="preserve">carga inicial asistida</w:t>
      </w:r>
      <w:r>
        <w:rPr>
          <w:rFonts w:ascii="Calibri" w:cs="Calibri" w:eastAsia="Calibri" w:hAnsi="Calibri"/>
          <w:color w:val="232323"/>
          <w:sz w:val="21"/>
          <w:szCs w:val="21"/>
        </w:rPr>
        <w:t xml:space="preserve">:</w:t>
      </w:r>
    </w:p>
    <w:p>
      <w:pPr>
        <w:pStyle w:val="ListParagraph"/>
        <w:numPr>
          <w:ilvl w:val="0"/>
          <w:numId w:val="2"/>
        </w:numPr>
        <w:spacing w:after="90" w:line="264"/>
      </w:pPr>
      <w:r>
        <w:rPr>
          <w:rFonts w:ascii="Calibri" w:cs="Calibri" w:eastAsia="Calibri" w:hAnsi="Calibri"/>
          <w:color w:val="232323"/>
          <w:sz w:val="21"/>
          <w:szCs w:val="21"/>
        </w:rPr>
        <w:t xml:space="preserve">Los centros deportivos piloto completan un formulario estructurado (o son asistidos presencialmente durante el onboarding, sección 9.5) para digitalizar su catálogo de canchas, horarios y precios vigentes.</w:t>
      </w:r>
    </w:p>
    <w:p>
      <w:pPr>
        <w:pStyle w:val="ListParagraph"/>
        <w:numPr>
          <w:ilvl w:val="0"/>
          <w:numId w:val="2"/>
        </w:numPr>
        <w:spacing w:after="90" w:line="264"/>
      </w:pPr>
      <w:r>
        <w:rPr>
          <w:rFonts w:ascii="Calibri" w:cs="Calibri" w:eastAsia="Calibri" w:hAnsi="Calibri"/>
          <w:color w:val="232323"/>
          <w:sz w:val="21"/>
          <w:szCs w:val="21"/>
        </w:rPr>
        <w:t xml:space="preserve">Para instituciones que ya administran campeonatos en hojas de cálculo, se habilita una herramienta de importación de equipos inscritos vía CSV, con validación manual antes de confirmar la carga.</w:t>
      </w:r>
    </w:p>
    <w:p>
      <w:pPr>
        <w:pStyle w:val="Heading2"/>
        <w:spacing w:after="160" w:before="340"/>
      </w:pPr>
      <w:r>
        <w:rPr>
          <w:rFonts w:ascii="Calibri" w:cs="Calibri" w:eastAsia="Calibri" w:hAnsi="Calibri"/>
          <w:b/>
          <w:bCs/>
          <w:color w:val="1F6F4A"/>
          <w:sz w:val="26"/>
          <w:szCs w:val="26"/>
        </w:rPr>
        <w:t xml:space="preserve">9.3 Checklist de Lanzamiento (Go-Live)</w:t>
      </w:r>
    </w:p>
    <w:p>
      <w:pPr>
        <w:spacing w:after="160" w:line="276"/>
        <w:jc w:val="left"/>
      </w:pPr>
      <w:r>
        <w:rPr>
          <w:rFonts w:ascii="Calibri" w:cs="Calibri" w:eastAsia="Calibri" w:hAnsi="Calibri"/>
          <w:color w:val="232323"/>
          <w:sz w:val="21"/>
          <w:szCs w:val="21"/>
        </w:rPr>
        <w:t xml:space="preserve">Antes de cada despliegue a producción de un release mayor, el Scrum Master verifica formalmente el siguiente checklist junto al equipo:</w:t>
      </w:r>
    </w:p>
    <w:p>
      <w:pPr>
        <w:pStyle w:val="ListParagraph"/>
        <w:numPr>
          <w:ilvl w:val="0"/>
          <w:numId w:val="3"/>
        </w:numPr>
        <w:spacing w:after="90" w:line="264"/>
      </w:pPr>
      <w:r>
        <w:rPr>
          <w:rFonts w:ascii="Calibri" w:cs="Calibri" w:eastAsia="Calibri" w:hAnsi="Calibri"/>
          <w:color w:val="232323"/>
          <w:sz w:val="21"/>
          <w:szCs w:val="21"/>
        </w:rPr>
        <w:t xml:space="preserve">Todas las historias de usuario del release cumplen la Definición de Terminado (sección 3.6.2) y su ampliación de QA (sección 8.5).</w:t>
      </w:r>
    </w:p>
    <w:p>
      <w:pPr>
        <w:pStyle w:val="ListParagraph"/>
        <w:numPr>
          <w:ilvl w:val="0"/>
          <w:numId w:val="3"/>
        </w:numPr>
        <w:spacing w:after="90" w:line="264"/>
      </w:pPr>
      <w:r>
        <w:rPr>
          <w:rFonts w:ascii="Calibri" w:cs="Calibri" w:eastAsia="Calibri" w:hAnsi="Calibri"/>
          <w:color w:val="232323"/>
          <w:sz w:val="21"/>
          <w:szCs w:val="21"/>
        </w:rPr>
        <w:t xml:space="preserve">El informe de pruebas de carga y el informe de pentesting correspondientes al release han sido revisados sin hallazgos críticos abiertos.</w:t>
      </w:r>
    </w:p>
    <w:p>
      <w:pPr>
        <w:pStyle w:val="ListParagraph"/>
        <w:numPr>
          <w:ilvl w:val="0"/>
          <w:numId w:val="3"/>
        </w:numPr>
        <w:spacing w:after="90" w:line="264"/>
      </w:pPr>
      <w:r>
        <w:rPr>
          <w:rFonts w:ascii="Calibri" w:cs="Calibri" w:eastAsia="Calibri" w:hAnsi="Calibri"/>
          <w:color w:val="232323"/>
          <w:sz w:val="21"/>
          <w:szCs w:val="21"/>
        </w:rPr>
        <w:t xml:space="preserve">El plan de rollback ha sido probado en el entorno de Staging.</w:t>
      </w:r>
    </w:p>
    <w:p>
      <w:pPr>
        <w:pStyle w:val="ListParagraph"/>
        <w:numPr>
          <w:ilvl w:val="0"/>
          <w:numId w:val="3"/>
        </w:numPr>
        <w:spacing w:after="90" w:line="264"/>
      </w:pPr>
      <w:r>
        <w:rPr>
          <w:rFonts w:ascii="Calibri" w:cs="Calibri" w:eastAsia="Calibri" w:hAnsi="Calibri"/>
          <w:color w:val="232323"/>
          <w:sz w:val="21"/>
          <w:szCs w:val="21"/>
        </w:rPr>
        <w:t xml:space="preserve">Las copias de seguridad de la base de datos de producción están verificadas y actualizadas.</w:t>
      </w:r>
    </w:p>
    <w:p>
      <w:pPr>
        <w:pStyle w:val="ListParagraph"/>
        <w:numPr>
          <w:ilvl w:val="0"/>
          <w:numId w:val="3"/>
        </w:numPr>
        <w:spacing w:after="90" w:line="264"/>
      </w:pPr>
      <w:r>
        <w:rPr>
          <w:rFonts w:ascii="Calibri" w:cs="Calibri" w:eastAsia="Calibri" w:hAnsi="Calibri"/>
          <w:color w:val="232323"/>
          <w:sz w:val="21"/>
          <w:szCs w:val="21"/>
        </w:rPr>
        <w:t xml:space="preserve">El equipo de soporte (sección 10.1) ha sido informado de la ventana de despliegue y de las funcionalidades liberadas.</w:t>
      </w:r>
    </w:p>
    <w:p>
      <w:pPr>
        <w:pStyle w:val="ListParagraph"/>
        <w:numPr>
          <w:ilvl w:val="0"/>
          <w:numId w:val="3"/>
        </w:numPr>
        <w:spacing w:after="90" w:line="264"/>
      </w:pPr>
      <w:r>
        <w:rPr>
          <w:rFonts w:ascii="Calibri" w:cs="Calibri" w:eastAsia="Calibri" w:hAnsi="Calibri"/>
          <w:color w:val="232323"/>
          <w:sz w:val="21"/>
          <w:szCs w:val="21"/>
        </w:rPr>
        <w:t xml:space="preserve">Los centros deportivos y usuarios afectados han sido notificados según el plan de comunicación (sección 9.5), cuando el cambio sea perceptible para ellos.</w:t>
      </w:r>
    </w:p>
    <w:p>
      <w:pPr>
        <w:pStyle w:val="Heading2"/>
        <w:spacing w:after="160" w:before="340"/>
      </w:pPr>
      <w:r>
        <w:rPr>
          <w:rFonts w:ascii="Calibri" w:cs="Calibri" w:eastAsia="Calibri" w:hAnsi="Calibri"/>
          <w:b/>
          <w:bCs/>
          <w:color w:val="1F6F4A"/>
          <w:sz w:val="26"/>
          <w:szCs w:val="26"/>
        </w:rPr>
        <w:t xml:space="preserve">9.4 Plan de Rollback y Contingencia</w:t>
      </w:r>
    </w:p>
    <w:p>
      <w:pPr>
        <w:spacing w:after="160" w:line="276"/>
        <w:jc w:val="left"/>
      </w:pPr>
      <w:r>
        <w:rPr>
          <w:rFonts w:ascii="Calibri" w:cs="Calibri" w:eastAsia="Calibri" w:hAnsi="Calibri"/>
          <w:color w:val="232323"/>
          <w:sz w:val="21"/>
          <w:szCs w:val="21"/>
        </w:rPr>
        <w:t xml:space="preserve">Todo despliegue a producción debe ser reversible en un plazo objetivo no mayor a 15 minutos. La estrategia blue-green descrita en la sección 9.1.1 permite, en la mayoría de los casos, revertir el tráfico a la versión estable anterior de forma prácticamente instantánea. Para cambios que involucran modificaciones irreversibles en el esquema de la base de datos, toda migración debe diseñarse siguiendo el principio de </w:t>
      </w:r>
      <w:r>
        <w:rPr>
          <w:rFonts w:ascii="Calibri" w:cs="Calibri" w:eastAsia="Calibri" w:hAnsi="Calibri"/>
          <w:b/>
          <w:bCs/>
          <w:color w:val="232323"/>
          <w:sz w:val="21"/>
          <w:szCs w:val="21"/>
        </w:rPr>
        <w:t xml:space="preserve">compatibilidad hacia atrás</w:t>
      </w:r>
      <w:r>
        <w:rPr>
          <w:rFonts w:ascii="Calibri" w:cs="Calibri" w:eastAsia="Calibri" w:hAnsi="Calibri"/>
          <w:color w:val="232323"/>
          <w:sz w:val="21"/>
          <w:szCs w:val="21"/>
        </w:rPr>
        <w:t xml:space="preserve"> (backward compatible), de forma que la versión anterior del código pueda seguir operando correctamente durante la ventana de reversión.</w:t>
      </w:r>
    </w:p>
    <w:p>
      <w:pPr>
        <w:pStyle w:val="Heading2"/>
        <w:spacing w:after="160" w:before="340"/>
      </w:pPr>
      <w:r>
        <w:rPr>
          <w:rFonts w:ascii="Calibri" w:cs="Calibri" w:eastAsia="Calibri" w:hAnsi="Calibri"/>
          <w:b/>
          <w:bCs/>
          <w:color w:val="1F6F4A"/>
          <w:sz w:val="26"/>
          <w:szCs w:val="26"/>
        </w:rPr>
        <w:t xml:space="preserve">9.5 Comunicación y Onboarding de Centros Piloto</w:t>
      </w:r>
    </w:p>
    <w:p>
      <w:pPr>
        <w:spacing w:after="160" w:line="276"/>
        <w:jc w:val="left"/>
      </w:pPr>
      <w:r>
        <w:rPr>
          <w:rFonts w:ascii="Calibri" w:cs="Calibri" w:eastAsia="Calibri" w:hAnsi="Calibri"/>
          <w:color w:val="232323"/>
          <w:sz w:val="21"/>
          <w:szCs w:val="21"/>
        </w:rPr>
        <w:t xml:space="preserve">El éxito del Release 2 (piloto) depende tanto de la calidad técnica del sistema como de un proceso de incorporación cuidadoso de los 15 a 20 centros deportivos piloto identificados en la sección 6.1 del Plan de Negocios, dado el nivel heterogéneo de alfabetización digital de sus administradores (sección 5.5 del Plan de Negocios).</w:t>
      </w:r>
    </w:p>
    <w:p>
      <w:pPr>
        <w:pStyle w:val="ListParagraph"/>
        <w:numPr>
          <w:ilvl w:val="0"/>
          <w:numId w:val="2"/>
        </w:numPr>
        <w:spacing w:after="90" w:line="264"/>
      </w:pPr>
      <w:r>
        <w:rPr>
          <w:rFonts w:ascii="Calibri" w:cs="Calibri" w:eastAsia="Calibri" w:hAnsi="Calibri"/>
          <w:color w:val="232323"/>
          <w:sz w:val="21"/>
          <w:szCs w:val="21"/>
        </w:rPr>
        <w:t xml:space="preserve">Sesión presencial de onboarding asistido por centro piloto, con acompañamiento en la primera publicación de sus canchas.</w:t>
      </w:r>
    </w:p>
    <w:p>
      <w:pPr>
        <w:pStyle w:val="ListParagraph"/>
        <w:numPr>
          <w:ilvl w:val="0"/>
          <w:numId w:val="2"/>
        </w:numPr>
        <w:spacing w:after="90" w:line="264"/>
      </w:pPr>
      <w:r>
        <w:rPr>
          <w:rFonts w:ascii="Calibri" w:cs="Calibri" w:eastAsia="Calibri" w:hAnsi="Calibri"/>
          <w:color w:val="232323"/>
          <w:sz w:val="21"/>
          <w:szCs w:val="21"/>
        </w:rPr>
        <w:t xml:space="preserve">Material de referencia rápida (guía impresa o en video corto) con los pasos esenciales del panel de administración.</w:t>
      </w:r>
    </w:p>
    <w:p>
      <w:pPr>
        <w:pStyle w:val="ListParagraph"/>
        <w:numPr>
          <w:ilvl w:val="0"/>
          <w:numId w:val="2"/>
        </w:numPr>
        <w:spacing w:after="90" w:line="264"/>
      </w:pPr>
      <w:r>
        <w:rPr>
          <w:rFonts w:ascii="Calibri" w:cs="Calibri" w:eastAsia="Calibri" w:hAnsi="Calibri"/>
          <w:color w:val="232323"/>
          <w:sz w:val="21"/>
          <w:szCs w:val="21"/>
        </w:rPr>
        <w:t xml:space="preserve">Canal directo de soporte (WhatsApp Business) durante las primeras semanas de operación de cada centro piloto, antes de derivarlos al modelo de soporte estándar de la sección 10.1.</w:t>
      </w:r>
    </w:p>
    <w:p>
      <w:pPr>
        <w:pStyle w:val="Heading2"/>
        <w:spacing w:after="160" w:before="340"/>
      </w:pPr>
      <w:r>
        <w:rPr>
          <w:rFonts w:ascii="Calibri" w:cs="Calibri" w:eastAsia="Calibri" w:hAnsi="Calibri"/>
          <w:b/>
          <w:bCs/>
          <w:color w:val="1F6F4A"/>
          <w:sz w:val="26"/>
          <w:szCs w:val="26"/>
        </w:rPr>
        <w:t xml:space="preserve">9.6 Entregables de la Fase</w:t>
      </w:r>
    </w:p>
    <w:p>
      <w:pPr>
        <w:pStyle w:val="ListParagraph"/>
        <w:numPr>
          <w:ilvl w:val="0"/>
          <w:numId w:val="2"/>
        </w:numPr>
        <w:spacing w:after="90" w:line="264"/>
      </w:pPr>
      <w:r>
        <w:rPr>
          <w:rFonts w:ascii="Calibri" w:cs="Calibri" w:eastAsia="Calibri" w:hAnsi="Calibri"/>
          <w:color w:val="232323"/>
          <w:sz w:val="21"/>
          <w:szCs w:val="21"/>
        </w:rPr>
        <w:t xml:space="preserve">Sistema desplegado en producción, accesible para los centros piloto y deportistas del Cusco.</w:t>
      </w:r>
    </w:p>
    <w:p>
      <w:pPr>
        <w:pStyle w:val="ListParagraph"/>
        <w:numPr>
          <w:ilvl w:val="0"/>
          <w:numId w:val="2"/>
        </w:numPr>
        <w:spacing w:after="90" w:line="264"/>
      </w:pPr>
      <w:r>
        <w:rPr>
          <w:rFonts w:ascii="Calibri" w:cs="Calibri" w:eastAsia="Calibri" w:hAnsi="Calibri"/>
          <w:color w:val="232323"/>
          <w:sz w:val="21"/>
          <w:szCs w:val="21"/>
        </w:rPr>
        <w:t xml:space="preserve">Runbook de despliegue documentado, replicable para futuros releases.</w:t>
      </w:r>
    </w:p>
    <w:p>
      <w:pPr>
        <w:pStyle w:val="ListParagraph"/>
        <w:numPr>
          <w:ilvl w:val="0"/>
          <w:numId w:val="2"/>
        </w:numPr>
        <w:spacing w:after="90" w:line="264"/>
      </w:pPr>
      <w:r>
        <w:rPr>
          <w:rFonts w:ascii="Calibri" w:cs="Calibri" w:eastAsia="Calibri" w:hAnsi="Calibri"/>
          <w:color w:val="232323"/>
          <w:sz w:val="21"/>
          <w:szCs w:val="21"/>
        </w:rPr>
        <w:t xml:space="preserve">Checklist de lanzamiento firmado por el Scrum Master y el Product Owner.</w:t>
      </w:r>
    </w:p>
    <w:p>
      <w:pPr>
        <w:pStyle w:val="ListParagraph"/>
        <w:numPr>
          <w:ilvl w:val="0"/>
          <w:numId w:val="2"/>
        </w:numPr>
        <w:spacing w:after="90" w:line="264"/>
      </w:pPr>
      <w:r>
        <w:rPr>
          <w:rFonts w:ascii="Calibri" w:cs="Calibri" w:eastAsia="Calibri" w:hAnsi="Calibri"/>
          <w:color w:val="232323"/>
          <w:sz w:val="21"/>
          <w:szCs w:val="21"/>
        </w:rPr>
        <w:t xml:space="preserve">Plan de rollback probado y documentado.</w:t>
      </w:r>
    </w:p>
    <w:p>
      <w:pPr>
        <w:pStyle w:val="Heading1"/>
        <w:pageBreakBefore/>
        <w:pBdr>
          <w:bottom w:val="single" w:color="1F6F4A" w:sz="14" w:space="8"/>
        </w:pBdr>
        <w:spacing w:after="260" w:before="0"/>
      </w:pPr>
      <w:r>
        <w:rPr>
          <w:rFonts w:ascii="Calibri" w:cs="Calibri" w:eastAsia="Calibri" w:hAnsi="Calibri"/>
          <w:b/>
          <w:bCs/>
          <w:color w:val="173F32"/>
          <w:sz w:val="32"/>
          <w:szCs w:val="32"/>
        </w:rPr>
        <w:t xml:space="preserve">10. Fase 7 — Operación, Mantenimiento y Gestión de Cambios</w:t>
      </w:r>
    </w:p>
    <w:p>
      <w:pPr>
        <w:spacing w:after="160" w:line="276"/>
        <w:jc w:val="left"/>
      </w:pPr>
      <w:r>
        <w:rPr>
          <w:rFonts w:ascii="Calibri" w:cs="Calibri" w:eastAsia="Calibri" w:hAnsi="Calibri"/>
          <w:color w:val="232323"/>
          <w:sz w:val="21"/>
          <w:szCs w:val="21"/>
        </w:rPr>
        <w:t xml:space="preserve">Una vez en producción, el sistema entra en un ciclo continuo de operación que no reemplaza el marco Scrum descrito en la sección 3, sino que lo extiende: los sprints continúan con la misma cadencia de dos semanas, ahora combinando desarrollo evolutivo (nuevas funcionalidades) con las actividades de soporte, corrección y parcheo descritas en esta sección. Esta fase cubre, de forma explícita, el tramo final del ciclo de vida solicitado para este plan: la gestión de cambios y parches del sistema ya en operación.</w:t>
      </w:r>
    </w:p>
    <w:p>
      <w:pPr>
        <w:pStyle w:val="Heading2"/>
        <w:spacing w:after="160" w:before="340"/>
      </w:pPr>
      <w:r>
        <w:rPr>
          <w:rFonts w:ascii="Calibri" w:cs="Calibri" w:eastAsia="Calibri" w:hAnsi="Calibri"/>
          <w:b/>
          <w:bCs/>
          <w:color w:val="1F6F4A"/>
          <w:sz w:val="26"/>
          <w:szCs w:val="26"/>
        </w:rPr>
        <w:t xml:space="preserve">10.1 Modelo de Soporte Post-Lanzamiento</w:t>
      </w:r>
    </w:p>
    <w:p>
      <w:pPr>
        <w:spacing w:after="160" w:line="276"/>
        <w:jc w:val="left"/>
      </w:pPr>
      <w:r>
        <w:rPr>
          <w:rFonts w:ascii="Calibri" w:cs="Calibri" w:eastAsia="Calibri" w:hAnsi="Calibri"/>
          <w:color w:val="232323"/>
          <w:sz w:val="21"/>
          <w:szCs w:val="21"/>
        </w:rPr>
        <w:t xml:space="preserve">Se adopta un modelo de soporte escalonado en tres niveles, dimensionado para la estructura de seis posiciones del equipo definida en la sección 14 del Plan de Negocios:</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1512"/>
        <w:gridCol w:w="3024"/>
        <w:gridCol w:w="4536"/>
      </w:tblGrid>
      <w:tr>
        <w:trPr>
          <w:cantSplit/>
          <w:tblHeader/>
        </w:trPr>
        <w:tc>
          <w:tcPr>
            <w:tcW w:type="dxa" w:w="1512"/>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Nivel</w:t>
            </w:r>
          </w:p>
        </w:tc>
        <w:tc>
          <w:tcPr>
            <w:tcW w:type="dxa" w:w="3024"/>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Responsable</w:t>
            </w:r>
          </w:p>
        </w:tc>
        <w:tc>
          <w:tcPr>
            <w:tcW w:type="dxa" w:w="4536"/>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Alcance</w:t>
            </w:r>
          </w:p>
        </w:tc>
      </w:tr>
      <w:tr>
        <w:trPr>
          <w:cantSplit/>
        </w:trPr>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L1 — Soporte al usuario</w:t>
            </w:r>
          </w:p>
        </w:tc>
        <w:tc>
          <w:tcPr>
            <w:tcW w:type="dxa" w:w="302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Posición de soporte al cliente / marketing digital (sección 14.1 del Plan de Negocios)</w:t>
            </w:r>
          </w:p>
        </w:tc>
        <w:tc>
          <w:tcPr>
            <w:tcW w:type="dxa" w:w="453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Consultas frecuentes, incidencias de uso, primer contacto vía WhatsApp Business o correo</w:t>
            </w:r>
          </w:p>
        </w:tc>
      </w:tr>
      <w:tr>
        <w:trPr>
          <w:cantSplit/>
        </w:trPr>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L2 — Soporte técnico</w:t>
            </w:r>
          </w:p>
        </w:tc>
        <w:tc>
          <w:tcPr>
            <w:tcW w:type="dxa" w:w="302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Desarrollador(a) full-stack, en rotación semanal</w:t>
            </w:r>
          </w:p>
        </w:tc>
        <w:tc>
          <w:tcPr>
            <w:tcW w:type="dxa" w:w="453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Incidencias que requieren revisión de logs, configuración o intervención técnica menor</w:t>
            </w:r>
          </w:p>
        </w:tc>
      </w:tr>
      <w:tr>
        <w:trPr>
          <w:cantSplit/>
        </w:trPr>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L3 — Desarrollo especializado</w:t>
            </w:r>
          </w:p>
        </w:tc>
        <w:tc>
          <w:tcPr>
            <w:tcW w:type="dxa" w:w="302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CTO / líder técnico</w:t>
            </w:r>
          </w:p>
        </w:tc>
        <w:tc>
          <w:tcPr>
            <w:tcW w:type="dxa" w:w="453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Incidentes críticos, defectos que requieren cambio de código y decisiones de arquitectura</w:t>
            </w:r>
          </w:p>
        </w:tc>
      </w:tr>
    </w:tbl>
    <w:p>
      <w:pPr>
        <w:spacing w:after="160"/>
      </w:pPr>
    </w:p>
    <w:p>
      <w:pPr>
        <w:pStyle w:val="Heading2"/>
        <w:spacing w:after="160" w:before="340"/>
      </w:pPr>
      <w:r>
        <w:rPr>
          <w:rFonts w:ascii="Calibri" w:cs="Calibri" w:eastAsia="Calibri" w:hAnsi="Calibri"/>
          <w:b/>
          <w:bCs/>
          <w:color w:val="1F6F4A"/>
          <w:sz w:val="26"/>
          <w:szCs w:val="26"/>
        </w:rPr>
        <w:t xml:space="preserve">10.2 Gestión de Incidentes</w:t>
      </w:r>
    </w:p>
    <w:p>
      <w:pPr>
        <w:spacing w:after="160" w:line="276"/>
        <w:jc w:val="left"/>
      </w:pPr>
      <w:r>
        <w:rPr>
          <w:rFonts w:ascii="Calibri" w:cs="Calibri" w:eastAsia="Calibri" w:hAnsi="Calibri"/>
          <w:color w:val="232323"/>
          <w:sz w:val="21"/>
          <w:szCs w:val="21"/>
        </w:rPr>
        <w:t xml:space="preserve">Todo incidente en producción se clasifica por severidad al momento de su detección, lo que determina el tiempo objetivo de respuesta (tiempo hasta el primer reconocimiento) y de resolución (tiempo hasta la restauración del servicio), en línea con los objetivos de nivel de servicio (SLO) de disponibilidad definidos en la sección 4.3.2.</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1649"/>
        <w:gridCol w:w="3298"/>
        <w:gridCol w:w="1649"/>
        <w:gridCol w:w="2476"/>
      </w:tblGrid>
      <w:tr>
        <w:trPr>
          <w:cantSplit/>
          <w:tblHeader/>
        </w:trPr>
        <w:tc>
          <w:tcPr>
            <w:tcW w:type="dxa" w:w="1649"/>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Severidad</w:t>
            </w:r>
          </w:p>
        </w:tc>
        <w:tc>
          <w:tcPr>
            <w:tcW w:type="dxa" w:w="3298"/>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Ejemplo</w:t>
            </w:r>
          </w:p>
        </w:tc>
        <w:tc>
          <w:tcPr>
            <w:tcW w:type="dxa" w:w="1649"/>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Tiempo de respuesta</w:t>
            </w:r>
          </w:p>
        </w:tc>
        <w:tc>
          <w:tcPr>
            <w:tcW w:type="dxa" w:w="2476"/>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Tiempo de resolución objetivo</w:t>
            </w:r>
          </w:p>
        </w:tc>
      </w:tr>
      <w:tr>
        <w:trPr>
          <w:cantSplit/>
        </w:trPr>
        <w:tc>
          <w:tcPr>
            <w:tcW w:type="dxa" w:w="1649"/>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Sev1 — Crítica</w:t>
            </w:r>
          </w:p>
        </w:tc>
        <w:tc>
          <w:tcPr>
            <w:tcW w:type="dxa" w:w="3298"/>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El sistema de pagos o reservas está caído para todos los usuarios</w:t>
            </w:r>
          </w:p>
        </w:tc>
        <w:tc>
          <w:tcPr>
            <w:tcW w:type="dxa" w:w="1649"/>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15 minutos</w:t>
            </w:r>
          </w:p>
        </w:tc>
        <w:tc>
          <w:tcPr>
            <w:tcW w:type="dxa" w:w="247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4 horas</w:t>
            </w:r>
          </w:p>
        </w:tc>
      </w:tr>
      <w:tr>
        <w:trPr>
          <w:cantSplit/>
        </w:trPr>
        <w:tc>
          <w:tcPr>
            <w:tcW w:type="dxa" w:w="1649"/>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Sev2 — Alta</w:t>
            </w:r>
          </w:p>
        </w:tc>
        <w:tc>
          <w:tcPr>
            <w:tcW w:type="dxa" w:w="3298"/>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Un centro deportivo no puede publicar canchas o recibir liquidaciones</w:t>
            </w:r>
          </w:p>
        </w:tc>
        <w:tc>
          <w:tcPr>
            <w:tcW w:type="dxa" w:w="1649"/>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1 hora</w:t>
            </w:r>
          </w:p>
        </w:tc>
        <w:tc>
          <w:tcPr>
            <w:tcW w:type="dxa" w:w="247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1 día hábil</w:t>
            </w:r>
          </w:p>
        </w:tc>
      </w:tr>
      <w:tr>
        <w:trPr>
          <w:cantSplit/>
        </w:trPr>
        <w:tc>
          <w:tcPr>
            <w:tcW w:type="dxa" w:w="1649"/>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Sev3 — Media</w:t>
            </w:r>
          </w:p>
        </w:tc>
        <w:tc>
          <w:tcPr>
            <w:tcW w:type="dxa" w:w="3298"/>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Una funcionalidad secundaria falla con solución alternativa disponible</w:t>
            </w:r>
          </w:p>
        </w:tc>
        <w:tc>
          <w:tcPr>
            <w:tcW w:type="dxa" w:w="1649"/>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1 día hábil</w:t>
            </w:r>
          </w:p>
        </w:tc>
        <w:tc>
          <w:tcPr>
            <w:tcW w:type="dxa" w:w="247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Dentro del sprint en curso</w:t>
            </w:r>
          </w:p>
        </w:tc>
      </w:tr>
      <w:tr>
        <w:trPr>
          <w:cantSplit/>
        </w:trPr>
        <w:tc>
          <w:tcPr>
            <w:tcW w:type="dxa" w:w="1649"/>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Sev4 — Baja</w:t>
            </w:r>
          </w:p>
        </w:tc>
        <w:tc>
          <w:tcPr>
            <w:tcW w:type="dxa" w:w="3298"/>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Incidencia cosmética o de bajo impacto</w:t>
            </w:r>
          </w:p>
        </w:tc>
        <w:tc>
          <w:tcPr>
            <w:tcW w:type="dxa" w:w="1649"/>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3 días hábiles</w:t>
            </w:r>
          </w:p>
        </w:tc>
        <w:tc>
          <w:tcPr>
            <w:tcW w:type="dxa" w:w="247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Priorizado en el Product Backlog</w:t>
            </w:r>
          </w:p>
        </w:tc>
      </w:tr>
    </w:tbl>
    <w:p>
      <w:pPr>
        <w:spacing w:after="160"/>
      </w:pPr>
    </w:p>
    <w:p>
      <w:pPr>
        <w:spacing w:after="160" w:line="276"/>
        <w:jc w:val="left"/>
      </w:pPr>
      <w:r>
        <w:rPr>
          <w:rFonts w:ascii="Calibri" w:cs="Calibri" w:eastAsia="Calibri" w:hAnsi="Calibri"/>
          <w:color w:val="232323"/>
          <w:sz w:val="21"/>
          <w:szCs w:val="21"/>
        </w:rPr>
        <w:t xml:space="preserve">Ante un incidente Sev1 o Sev2, el responsable de L1 escala inmediatamente a L2; si la causa raíz no se identifica en un plazo razonable o requiere un cambio de código, se escala a L3, activando el protocolo de hotfix descrito en la sección 10.4.1.</w:t>
      </w:r>
    </w:p>
    <w:p>
      <w:pPr>
        <w:pStyle w:val="Heading2"/>
        <w:spacing w:after="160" w:before="340"/>
      </w:pPr>
      <w:r>
        <w:rPr>
          <w:rFonts w:ascii="Calibri" w:cs="Calibri" w:eastAsia="Calibri" w:hAnsi="Calibri"/>
          <w:b/>
          <w:bCs/>
          <w:color w:val="1F6F4A"/>
          <w:sz w:val="26"/>
          <w:szCs w:val="26"/>
        </w:rPr>
        <w:t xml:space="preserve">10.3 Gestión de Cambios y Versionamiento Semántico</w:t>
      </w:r>
    </w:p>
    <w:p>
      <w:pPr>
        <w:spacing w:after="160" w:line="276"/>
        <w:jc w:val="left"/>
      </w:pPr>
      <w:r>
        <w:rPr>
          <w:rFonts w:ascii="Calibri" w:cs="Calibri" w:eastAsia="Calibri" w:hAnsi="Calibri"/>
          <w:color w:val="232323"/>
          <w:sz w:val="21"/>
          <w:szCs w:val="21"/>
        </w:rPr>
        <w:t xml:space="preserve">Cada microservicio y cada aplicación cliente se versionan siguiendo el estándar de </w:t>
      </w:r>
      <w:r>
        <w:rPr>
          <w:rFonts w:ascii="Calibri" w:cs="Calibri" w:eastAsia="Calibri" w:hAnsi="Calibri"/>
          <w:b/>
          <w:bCs/>
          <w:color w:val="232323"/>
          <w:sz w:val="21"/>
          <w:szCs w:val="21"/>
        </w:rPr>
        <w:t xml:space="preserve">Versionamiento Semántico (SemVer)</w:t>
      </w:r>
      <w:r>
        <w:rPr>
          <w:rFonts w:ascii="Calibri" w:cs="Calibri" w:eastAsia="Calibri" w:hAnsi="Calibri"/>
          <w:color w:val="232323"/>
          <w:sz w:val="21"/>
          <w:szCs w:val="21"/>
        </w:rPr>
        <w:t xml:space="preserve">, con el formato MAYOR.MENOR.PARCHE (por ejemplo, 1.4.2):</w:t>
      </w:r>
    </w:p>
    <w:p>
      <w:pPr>
        <w:pStyle w:val="ListParagraph"/>
        <w:numPr>
          <w:ilvl w:val="0"/>
          <w:numId w:val="2"/>
        </w:numPr>
        <w:spacing w:after="90" w:line="264"/>
      </w:pPr>
      <w:r>
        <w:rPr>
          <w:rFonts w:ascii="Calibri" w:cs="Calibri" w:eastAsia="Calibri" w:hAnsi="Calibri"/>
          <w:b/>
          <w:bCs/>
          <w:color w:val="232323"/>
          <w:sz w:val="21"/>
          <w:szCs w:val="21"/>
        </w:rPr>
        <w:t xml:space="preserve">MAYOR: </w:t>
      </w:r>
      <w:r>
        <w:rPr>
          <w:rFonts w:ascii="Calibri" w:cs="Calibri" w:eastAsia="Calibri" w:hAnsi="Calibri"/>
          <w:color w:val="232323"/>
          <w:sz w:val="21"/>
          <w:szCs w:val="21"/>
        </w:rPr>
        <w:t xml:space="preserve">cambios incompatibles con versiones anteriores del contrato de API.</w:t>
      </w:r>
    </w:p>
    <w:p>
      <w:pPr>
        <w:pStyle w:val="ListParagraph"/>
        <w:numPr>
          <w:ilvl w:val="0"/>
          <w:numId w:val="2"/>
        </w:numPr>
        <w:spacing w:after="90" w:line="264"/>
      </w:pPr>
      <w:r>
        <w:rPr>
          <w:rFonts w:ascii="Calibri" w:cs="Calibri" w:eastAsia="Calibri" w:hAnsi="Calibri"/>
          <w:b/>
          <w:bCs/>
          <w:color w:val="232323"/>
          <w:sz w:val="21"/>
          <w:szCs w:val="21"/>
        </w:rPr>
        <w:t xml:space="preserve">MENOR: </w:t>
      </w:r>
      <w:r>
        <w:rPr>
          <w:rFonts w:ascii="Calibri" w:cs="Calibri" w:eastAsia="Calibri" w:hAnsi="Calibri"/>
          <w:color w:val="232323"/>
          <w:sz w:val="21"/>
          <w:szCs w:val="21"/>
        </w:rPr>
        <w:t xml:space="preserve">incorporación de nueva funcionalidad compatible con versiones anteriores.</w:t>
      </w:r>
    </w:p>
    <w:p>
      <w:pPr>
        <w:pStyle w:val="ListParagraph"/>
        <w:numPr>
          <w:ilvl w:val="0"/>
          <w:numId w:val="2"/>
        </w:numPr>
        <w:spacing w:after="90" w:line="264"/>
      </w:pPr>
      <w:r>
        <w:rPr>
          <w:rFonts w:ascii="Calibri" w:cs="Calibri" w:eastAsia="Calibri" w:hAnsi="Calibri"/>
          <w:b/>
          <w:bCs/>
          <w:color w:val="232323"/>
          <w:sz w:val="21"/>
          <w:szCs w:val="21"/>
        </w:rPr>
        <w:t xml:space="preserve">PARCHE: </w:t>
      </w:r>
      <w:r>
        <w:rPr>
          <w:rFonts w:ascii="Calibri" w:cs="Calibri" w:eastAsia="Calibri" w:hAnsi="Calibri"/>
          <w:color w:val="232323"/>
          <w:sz w:val="21"/>
          <w:szCs w:val="21"/>
        </w:rPr>
        <w:t xml:space="preserve">corrección de errores sin cambio de comportamiento funcional visible.</w:t>
      </w:r>
    </w:p>
    <w:p>
      <w:pPr>
        <w:spacing w:after="160" w:line="276"/>
        <w:jc w:val="left"/>
      </w:pPr>
      <w:r>
        <w:rPr>
          <w:rFonts w:ascii="Calibri" w:cs="Calibri" w:eastAsia="Calibri" w:hAnsi="Calibri"/>
          <w:color w:val="232323"/>
          <w:sz w:val="21"/>
          <w:szCs w:val="21"/>
        </w:rPr>
        <w:t xml:space="preserve">Toda liberación queda registrada automáticamente en una bitácora de cambios (changelog), generada a partir de los mensajes de commit con formato Conventional Commits (sección 6.1), garantizando trazabilidad completa entre cada versión desplegada y las historias de usuario o defectos que la componen.</w:t>
      </w:r>
    </w:p>
    <w:p>
      <w:pPr>
        <w:pStyle w:val="Heading2"/>
        <w:spacing w:after="160" w:before="340"/>
      </w:pPr>
      <w:r>
        <w:rPr>
          <w:rFonts w:ascii="Calibri" w:cs="Calibri" w:eastAsia="Calibri" w:hAnsi="Calibri"/>
          <w:b/>
          <w:bCs/>
          <w:color w:val="1F6F4A"/>
          <w:sz w:val="26"/>
          <w:szCs w:val="26"/>
        </w:rPr>
        <w:t xml:space="preserve">10.4 Ciclo de Parches (Patch Management)</w:t>
      </w:r>
    </w:p>
    <w:p>
      <w:pPr>
        <w:pStyle w:val="Heading3"/>
        <w:spacing w:after="120" w:before="260"/>
      </w:pPr>
      <w:r>
        <w:rPr>
          <w:rFonts w:ascii="Calibri" w:cs="Calibri" w:eastAsia="Calibri" w:hAnsi="Calibri"/>
          <w:b/>
          <w:bCs/>
          <w:color w:val="2C4A3E"/>
          <w:sz w:val="23"/>
          <w:szCs w:val="23"/>
        </w:rPr>
        <w:t xml:space="preserve">10.4.1 Parches Correctivos (Hotfix)</w:t>
      </w:r>
    </w:p>
    <w:p>
      <w:pPr>
        <w:spacing w:after="160" w:line="276"/>
        <w:jc w:val="left"/>
      </w:pPr>
      <w:r>
        <w:rPr>
          <w:rFonts w:ascii="Calibri" w:cs="Calibri" w:eastAsia="Calibri" w:hAnsi="Calibri"/>
          <w:color w:val="232323"/>
          <w:sz w:val="21"/>
          <w:szCs w:val="21"/>
        </w:rPr>
        <w:t xml:space="preserve">Ante un defecto de severidad crítica o alta detectado en producción, se activa un proceso acelerado, fuera del ciclo regular de sprint, que no espera al siguiente Sprint Planning:</w:t>
      </w:r>
    </w:p>
    <w:p>
      <w:pPr>
        <w:pStyle w:val="ListParagraph"/>
        <w:numPr>
          <w:ilvl w:val="0"/>
          <w:numId w:val="3"/>
        </w:numPr>
        <w:spacing w:after="90" w:line="264"/>
      </w:pPr>
      <w:r>
        <w:rPr>
          <w:rFonts w:ascii="Calibri" w:cs="Calibri" w:eastAsia="Calibri" w:hAnsi="Calibri"/>
          <w:color w:val="232323"/>
          <w:sz w:val="21"/>
          <w:szCs w:val="21"/>
        </w:rPr>
        <w:t xml:space="preserve">Se crea una rama de hotfix directamente desde `main`, referenciando el incidente correspondiente.</w:t>
      </w:r>
    </w:p>
    <w:p>
      <w:pPr>
        <w:pStyle w:val="ListParagraph"/>
        <w:numPr>
          <w:ilvl w:val="0"/>
          <w:numId w:val="3"/>
        </w:numPr>
        <w:spacing w:after="90" w:line="264"/>
      </w:pPr>
      <w:r>
        <w:rPr>
          <w:rFonts w:ascii="Calibri" w:cs="Calibri" w:eastAsia="Calibri" w:hAnsi="Calibri"/>
          <w:color w:val="232323"/>
          <w:sz w:val="21"/>
          <w:szCs w:val="21"/>
        </w:rPr>
        <w:t xml:space="preserve">El desarrollo del parche sigue el mismo estándar de calidad que cualquier cambio regular (pruebas automatizadas, revisión de código), pero con revisión priorizada y expedita del equipo.</w:t>
      </w:r>
    </w:p>
    <w:p>
      <w:pPr>
        <w:pStyle w:val="ListParagraph"/>
        <w:numPr>
          <w:ilvl w:val="0"/>
          <w:numId w:val="3"/>
        </w:numPr>
        <w:spacing w:after="90" w:line="264"/>
      </w:pPr>
      <w:r>
        <w:rPr>
          <w:rFonts w:ascii="Calibri" w:cs="Calibri" w:eastAsia="Calibri" w:hAnsi="Calibri"/>
          <w:color w:val="232323"/>
          <w:sz w:val="21"/>
          <w:szCs w:val="21"/>
        </w:rPr>
        <w:t xml:space="preserve">El parche se despliega siguiendo la misma estrategia blue-green de la sección 9.1.1, incrementando la versión de PARCHE (SemVer).</w:t>
      </w:r>
    </w:p>
    <w:p>
      <w:pPr>
        <w:pStyle w:val="ListParagraph"/>
        <w:numPr>
          <w:ilvl w:val="0"/>
          <w:numId w:val="3"/>
        </w:numPr>
        <w:spacing w:after="90" w:line="264"/>
      </w:pPr>
      <w:r>
        <w:rPr>
          <w:rFonts w:ascii="Calibri" w:cs="Calibri" w:eastAsia="Calibri" w:hAnsi="Calibri"/>
          <w:color w:val="232323"/>
          <w:sz w:val="21"/>
          <w:szCs w:val="21"/>
        </w:rPr>
        <w:t xml:space="preserve">El incidente se documenta con un breve análisis de causa raíz (post-mortem), y cualquier acción preventiva identificada se incorpora al Product Backlog como deuda técnica o mejora de monitoreo.</w:t>
      </w:r>
    </w:p>
    <w:p>
      <w:pPr>
        <w:pStyle w:val="Heading3"/>
        <w:spacing w:after="120" w:before="260"/>
      </w:pPr>
      <w:r>
        <w:rPr>
          <w:rFonts w:ascii="Calibri" w:cs="Calibri" w:eastAsia="Calibri" w:hAnsi="Calibri"/>
          <w:b/>
          <w:bCs/>
          <w:color w:val="2C4A3E"/>
          <w:sz w:val="23"/>
          <w:szCs w:val="23"/>
        </w:rPr>
        <w:t xml:space="preserve">10.4.2 Actualizaciones Evolutivas</w:t>
      </w:r>
    </w:p>
    <w:p>
      <w:pPr>
        <w:spacing w:after="160" w:line="276"/>
        <w:jc w:val="left"/>
      </w:pPr>
      <w:r>
        <w:rPr>
          <w:rFonts w:ascii="Calibri" w:cs="Calibri" w:eastAsia="Calibri" w:hAnsi="Calibri"/>
          <w:color w:val="232323"/>
          <w:sz w:val="21"/>
          <w:szCs w:val="21"/>
        </w:rPr>
        <w:t xml:space="preserve">Los defectos de severidad media o baja, así como las mejoras funcionales, siguen el ciclo normal de sprint: se priorizan en el Product Backlog junto con las nuevas historias de usuario, y se liberan como parte de los incrementos regulares, incrementando la versión MENOR o PARCHE según corresponda.</w:t>
      </w:r>
    </w:p>
    <w:p>
      <w:pPr>
        <w:pStyle w:val="Heading3"/>
        <w:spacing w:after="120" w:before="260"/>
      </w:pPr>
      <w:r>
        <w:rPr>
          <w:rFonts w:ascii="Calibri" w:cs="Calibri" w:eastAsia="Calibri" w:hAnsi="Calibri"/>
          <w:b/>
          <w:bCs/>
          <w:color w:val="2C4A3E"/>
          <w:sz w:val="23"/>
          <w:szCs w:val="23"/>
        </w:rPr>
        <w:t xml:space="preserve">10.4.3 Ventanas de Mantenimiento Programado</w:t>
      </w:r>
    </w:p>
    <w:p>
      <w:pPr>
        <w:spacing w:after="160" w:line="276"/>
        <w:jc w:val="left"/>
      </w:pPr>
      <w:r>
        <w:rPr>
          <w:rFonts w:ascii="Calibri" w:cs="Calibri" w:eastAsia="Calibri" w:hAnsi="Calibri"/>
          <w:color w:val="232323"/>
          <w:sz w:val="21"/>
          <w:szCs w:val="21"/>
        </w:rPr>
        <w:t xml:space="preserve">Para cambios que sí requieren interrupción del servicio (por ejemplo, una migración de esquema de base de datos no compatible hacia atrás), se define una ventana de mantenimiento programado en horario de mínima demanda (de acuerdo con los patrones de uso observados, típicamente en horas de la madrugada entre semana), comunicada a los centros deportivos con un mínimo de 48 horas de anticipación.</w:t>
      </w:r>
    </w:p>
    <w:p>
      <w:pPr>
        <w:pStyle w:val="Heading3"/>
        <w:spacing w:after="120" w:before="260"/>
      </w:pPr>
      <w:r>
        <w:rPr>
          <w:rFonts w:ascii="Calibri" w:cs="Calibri" w:eastAsia="Calibri" w:hAnsi="Calibri"/>
          <w:b/>
          <w:bCs/>
          <w:color w:val="2C4A3E"/>
          <w:sz w:val="23"/>
          <w:szCs w:val="23"/>
        </w:rPr>
        <w:t xml:space="preserve">10.4.4 Proceso de Aprobación de Cambios</w:t>
      </w:r>
    </w:p>
    <w:p>
      <w:pPr>
        <w:spacing w:after="160" w:line="276"/>
        <w:jc w:val="left"/>
      </w:pPr>
      <w:r>
        <w:rPr>
          <w:rFonts w:ascii="Calibri" w:cs="Calibri" w:eastAsia="Calibri" w:hAnsi="Calibri"/>
          <w:color w:val="232323"/>
          <w:sz w:val="21"/>
          <w:szCs w:val="21"/>
        </w:rPr>
        <w:t xml:space="preserve">Dado el tamaño del equipo, se adopta una versión simplificada de un Comité Asesor de Cambios (Change Advisory Board): el Product Owner y el Scrum Master aprueban conjuntamente cualquier cambio de alto impacto (ventanas de mantenimiento, cambios de esquema de base de datos, cambios de proveedor de infraestructura), mientras que los cambios de bajo riesgo siguen el flujo estándar de revisión de código sin aprobación adicional.</w:t>
      </w:r>
    </w:p>
    <w:p>
      <w:pPr>
        <w:pStyle w:val="Heading2"/>
        <w:spacing w:after="160" w:before="340"/>
      </w:pPr>
      <w:r>
        <w:rPr>
          <w:rFonts w:ascii="Calibri" w:cs="Calibri" w:eastAsia="Calibri" w:hAnsi="Calibri"/>
          <w:b/>
          <w:bCs/>
          <w:color w:val="1F6F4A"/>
          <w:sz w:val="26"/>
          <w:szCs w:val="26"/>
        </w:rPr>
        <w:t xml:space="preserve">10.5 Monitoreo y Observabilidad</w:t>
      </w:r>
    </w:p>
    <w:p>
      <w:pPr>
        <w:spacing w:after="160" w:line="276"/>
        <w:jc w:val="left"/>
      </w:pPr>
      <w:r>
        <w:rPr>
          <w:rFonts w:ascii="Calibri" w:cs="Calibri" w:eastAsia="Calibri" w:hAnsi="Calibri"/>
          <w:color w:val="232323"/>
          <w:sz w:val="21"/>
          <w:szCs w:val="21"/>
        </w:rPr>
        <w:t xml:space="preserve">Sobre la base de las herramientas de monitoreo ya seleccionadas en la sección 7.1.6 del Plan de Negocios (Grafana o Datadog), se implementan tres pilares de observabilidad:</w:t>
      </w:r>
    </w:p>
    <w:p>
      <w:pPr>
        <w:pStyle w:val="ListParagraph"/>
        <w:numPr>
          <w:ilvl w:val="0"/>
          <w:numId w:val="2"/>
        </w:numPr>
        <w:spacing w:after="90" w:line="264"/>
      </w:pPr>
      <w:r>
        <w:rPr>
          <w:rFonts w:ascii="Calibri" w:cs="Calibri" w:eastAsia="Calibri" w:hAnsi="Calibri"/>
          <w:b/>
          <w:bCs/>
          <w:color w:val="232323"/>
          <w:sz w:val="21"/>
          <w:szCs w:val="21"/>
        </w:rPr>
        <w:t xml:space="preserve">Logs centralizados: </w:t>
      </w:r>
      <w:r>
        <w:rPr>
          <w:rFonts w:ascii="Calibri" w:cs="Calibri" w:eastAsia="Calibri" w:hAnsi="Calibri"/>
          <w:color w:val="232323"/>
          <w:sz w:val="21"/>
          <w:szCs w:val="21"/>
        </w:rPr>
        <w:t xml:space="preserve">todos los microservicios envían sus registros a un sistema centralizado, indexado y consultable, facilitando el diagnóstico de incidentes sin necesidad de acceder individualmente a cada contenedor.</w:t>
      </w:r>
    </w:p>
    <w:p>
      <w:pPr>
        <w:pStyle w:val="ListParagraph"/>
        <w:numPr>
          <w:ilvl w:val="0"/>
          <w:numId w:val="2"/>
        </w:numPr>
        <w:spacing w:after="90" w:line="264"/>
      </w:pPr>
      <w:r>
        <w:rPr>
          <w:rFonts w:ascii="Calibri" w:cs="Calibri" w:eastAsia="Calibri" w:hAnsi="Calibri"/>
          <w:b/>
          <w:bCs/>
          <w:color w:val="232323"/>
          <w:sz w:val="21"/>
          <w:szCs w:val="21"/>
        </w:rPr>
        <w:t xml:space="preserve">Métricas: </w:t>
      </w:r>
      <w:r>
        <w:rPr>
          <w:rFonts w:ascii="Calibri" w:cs="Calibri" w:eastAsia="Calibri" w:hAnsi="Calibri"/>
          <w:color w:val="232323"/>
          <w:sz w:val="21"/>
          <w:szCs w:val="21"/>
        </w:rPr>
        <w:t xml:space="preserve">indicadores técnicos (latencia, tasa de error, uso de recursos) y de negocio (reservas por minuto, tasa de conversión del flujo de pago) visualizados en paneles (dashboards) en tiempo real.</w:t>
      </w:r>
    </w:p>
    <w:p>
      <w:pPr>
        <w:pStyle w:val="ListParagraph"/>
        <w:numPr>
          <w:ilvl w:val="0"/>
          <w:numId w:val="2"/>
        </w:numPr>
        <w:spacing w:after="90" w:line="264"/>
      </w:pPr>
      <w:r>
        <w:rPr>
          <w:rFonts w:ascii="Calibri" w:cs="Calibri" w:eastAsia="Calibri" w:hAnsi="Calibri"/>
          <w:b/>
          <w:bCs/>
          <w:color w:val="232323"/>
          <w:sz w:val="21"/>
          <w:szCs w:val="21"/>
        </w:rPr>
        <w:t xml:space="preserve">Alertas proactivas: </w:t>
      </w:r>
      <w:r>
        <w:rPr>
          <w:rFonts w:ascii="Calibri" w:cs="Calibri" w:eastAsia="Calibri" w:hAnsi="Calibri"/>
          <w:color w:val="232323"/>
          <w:sz w:val="21"/>
          <w:szCs w:val="21"/>
        </w:rPr>
        <w:t xml:space="preserve">umbrales configurados sobre las métricas críticas (por ejemplo, tasa de error superior al 2 % en el microservicio de Pagos) que notifican automáticamente al equipo de guardia antes de que el usuario perciba el problema.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tcBorders>
              <w:top w:val="dashed" w:color="9BB8AC" w:sz="6"/>
              <w:left w:val="dashed" w:color="9BB8AC" w:sz="6"/>
              <w:bottom w:val="dashed" w:color="9BB8AC" w:sz="6"/>
              <w:right w:val="dashed" w:color="9BB8AC" w:sz="6"/>
            </w:tcBorders>
            <w:shd w:fill="F5F8F7" w:val="clear"/>
            <w:tcMar>
              <w:top w:type="dxa" w:w="260"/>
              <w:left w:type="dxa" w:w="260"/>
              <w:bottom w:type="dxa" w:w="260"/>
              <w:right w:type="dxa" w:w="260"/>
            </w:tcMar>
            <w:vAlign w:val="center"/>
          </w:tcPr>
          <w:p>
            <w:pPr>
              <w:spacing w:before="420"/>
              <w:jc w:val="center"/>
            </w:pPr>
            <w:r>
              <w:rPr>
                <w:rFonts w:ascii="Calibri" w:cs="Calibri" w:eastAsia="Calibri" w:hAnsi="Calibri"/>
                <w:color w:val="1F6F4A"/>
                <w:sz w:val="44"/>
                <w:szCs w:val="44"/>
              </w:rPr>
              <w:t xml:space="preserve">◈</w:t>
            </w:r>
          </w:p>
          <w:p>
            <w:pPr>
              <w:spacing w:before="100"/>
              <w:jc w:val="center"/>
            </w:pPr>
            <w:r>
              <w:rPr>
                <w:rFonts w:ascii="Calibri" w:cs="Calibri" w:eastAsia="Calibri" w:hAnsi="Calibri"/>
                <w:b/>
                <w:bCs/>
                <w:color w:val="173F32"/>
                <w:sz w:val="19"/>
                <w:szCs w:val="19"/>
              </w:rPr>
              <w:t xml:space="preserve">ESPACIO RESERVADO PARA IMAGEN / DISEÑO</w:t>
            </w:r>
          </w:p>
          <w:p>
            <w:pPr>
              <w:spacing w:after="420" w:before="90"/>
              <w:ind w:left="900" w:right="900"/>
              <w:jc w:val="center"/>
            </w:pPr>
            <w:r>
              <w:rPr>
                <w:rFonts w:ascii="Calibri" w:cs="Calibri" w:eastAsia="Calibri" w:hAnsi="Calibri"/>
                <w:i/>
                <w:iCs/>
                <w:color w:val="5B5B5B"/>
                <w:sz w:val="18"/>
                <w:szCs w:val="18"/>
              </w:rPr>
              <w:t xml:space="preserve">Dashboard con indicadores de disponibilidad, latencia por microservicio, tasa de error, y métricas de negocio en tiempo real (reservas activas, GMV del día).</w:t>
            </w:r>
          </w:p>
        </w:tc>
      </w:tr>
    </w:tbl>
    <w:p>
      <w:pPr>
        <w:spacing w:after="260" w:before="80"/>
        <w:jc w:val="center"/>
      </w:pPr>
      <w:r>
        <w:rPr>
          <w:rFonts w:ascii="Calibri" w:cs="Calibri" w:eastAsia="Calibri" w:hAnsi="Calibri"/>
          <w:i/>
          <w:iCs/>
          <w:color w:val="5B5B5B"/>
          <w:sz w:val="18"/>
          <w:szCs w:val="18"/>
        </w:rPr>
        <w:t xml:space="preserve">Figura P12. Panel de monitoreo y observabilidad en producción.</w:t>
      </w:r>
    </w:p>
    <w:p>
      <w:pPr>
        <w:pStyle w:val="Heading2"/>
        <w:spacing w:after="160" w:before="340"/>
      </w:pPr>
      <w:r>
        <w:rPr>
          <w:rFonts w:ascii="Calibri" w:cs="Calibri" w:eastAsia="Calibri" w:hAnsi="Calibri"/>
          <w:b/>
          <w:bCs/>
          <w:color w:val="1F6F4A"/>
          <w:sz w:val="26"/>
          <w:szCs w:val="26"/>
        </w:rPr>
        <w:t xml:space="preserve">10.6 Mejora Continua</w:t>
      </w:r>
    </w:p>
    <w:p>
      <w:pPr>
        <w:spacing w:after="160" w:line="276"/>
        <w:jc w:val="left"/>
      </w:pPr>
      <w:r>
        <w:rPr>
          <w:rFonts w:ascii="Calibri" w:cs="Calibri" w:eastAsia="Calibri" w:hAnsi="Calibri"/>
          <w:color w:val="232323"/>
          <w:sz w:val="21"/>
          <w:szCs w:val="21"/>
        </w:rPr>
        <w:t xml:space="preserve">Más allá de la Sprint Retrospective de cada sprint (sección 3.4), se recomienda una revisión trimestral de arquitectura que evalúe si las decisiones técnicas tomadas durante el MVP siguen siendo adecuadas conforme crece el volumen de uso, anticipando así las necesidades de escalamiento hacia las fases 3 a 5 del alcance de negocio (expansión al Valle Sagrado, Arequipa y Puno). Esta práctica de mejora continua (Kaizen) asegura que la deuda técnica gestionada en la sección 7.4 no se acumule silenciosamente durante la etapa de operación.</w:t>
      </w:r>
    </w:p>
    <w:p>
      <w:pPr>
        <w:pStyle w:val="Heading2"/>
        <w:spacing w:after="160" w:before="340"/>
      </w:pPr>
      <w:r>
        <w:rPr>
          <w:rFonts w:ascii="Calibri" w:cs="Calibri" w:eastAsia="Calibri" w:hAnsi="Calibri"/>
          <w:b/>
          <w:bCs/>
          <w:color w:val="1F6F4A"/>
          <w:sz w:val="26"/>
          <w:szCs w:val="26"/>
        </w:rPr>
        <w:t xml:space="preserve">10.7 Entregables de la Fase</w:t>
      </w:r>
    </w:p>
    <w:p>
      <w:pPr>
        <w:pStyle w:val="ListParagraph"/>
        <w:numPr>
          <w:ilvl w:val="0"/>
          <w:numId w:val="2"/>
        </w:numPr>
        <w:spacing w:after="90" w:line="264"/>
      </w:pPr>
      <w:r>
        <w:rPr>
          <w:rFonts w:ascii="Calibri" w:cs="Calibri" w:eastAsia="Calibri" w:hAnsi="Calibri"/>
          <w:color w:val="232323"/>
          <w:sz w:val="21"/>
          <w:szCs w:val="21"/>
        </w:rPr>
        <w:t xml:space="preserve">Runbooks operativos documentados para los incidentes más frecuentes anticipados (caída de pasarela de pago, saturación del motor de búsqueda en fin de semana).</w:t>
      </w:r>
    </w:p>
    <w:p>
      <w:pPr>
        <w:pStyle w:val="ListParagraph"/>
        <w:numPr>
          <w:ilvl w:val="0"/>
          <w:numId w:val="2"/>
        </w:numPr>
        <w:spacing w:after="90" w:line="264"/>
      </w:pPr>
      <w:r>
        <w:rPr>
          <w:rFonts w:ascii="Calibri" w:cs="Calibri" w:eastAsia="Calibri" w:hAnsi="Calibri"/>
          <w:color w:val="232323"/>
          <w:sz w:val="21"/>
          <w:szCs w:val="21"/>
        </w:rPr>
        <w:t xml:space="preserve">Bitácora de cambios (changelog) mantenida de forma continua y automatizada.</w:t>
      </w:r>
    </w:p>
    <w:p>
      <w:pPr>
        <w:pStyle w:val="ListParagraph"/>
        <w:numPr>
          <w:ilvl w:val="0"/>
          <w:numId w:val="2"/>
        </w:numPr>
        <w:spacing w:after="90" w:line="264"/>
      </w:pPr>
      <w:r>
        <w:rPr>
          <w:rFonts w:ascii="Calibri" w:cs="Calibri" w:eastAsia="Calibri" w:hAnsi="Calibri"/>
          <w:color w:val="232323"/>
          <w:sz w:val="21"/>
          <w:szCs w:val="21"/>
        </w:rPr>
        <w:t xml:space="preserve">Acuerdos de nivel de servicio (SLA) internos documentados y comunicados al equipo y a los centros deportivos afiliados.</w:t>
      </w:r>
    </w:p>
    <w:p>
      <w:pPr>
        <w:pStyle w:val="ListParagraph"/>
        <w:numPr>
          <w:ilvl w:val="0"/>
          <w:numId w:val="2"/>
        </w:numPr>
        <w:spacing w:after="90" w:line="264"/>
      </w:pPr>
      <w:r>
        <w:rPr>
          <w:rFonts w:ascii="Calibri" w:cs="Calibri" w:eastAsia="Calibri" w:hAnsi="Calibri"/>
          <w:color w:val="232323"/>
          <w:sz w:val="21"/>
          <w:szCs w:val="21"/>
        </w:rPr>
        <w:t xml:space="preserve">Panel de monitoreo en producción, con alertas configuradas para los indicadores críticos.</w:t>
      </w:r>
    </w:p>
    <w:p>
      <w:pPr>
        <w:pStyle w:val="Heading1"/>
        <w:pageBreakBefore/>
        <w:pBdr>
          <w:bottom w:val="single" w:color="1F6F4A" w:sz="14" w:space="8"/>
        </w:pBdr>
        <w:spacing w:after="260" w:before="0"/>
      </w:pPr>
      <w:r>
        <w:rPr>
          <w:rFonts w:ascii="Calibri" w:cs="Calibri" w:eastAsia="Calibri" w:hAnsi="Calibri"/>
          <w:b/>
          <w:bCs/>
          <w:color w:val="173F32"/>
          <w:sz w:val="32"/>
          <w:szCs w:val="32"/>
        </w:rPr>
        <w:t xml:space="preserve">11. Cronograma General del Proyecto de Construcción</w:t>
      </w:r>
    </w:p>
    <w:p>
      <w:pPr>
        <w:spacing w:after="160" w:line="276"/>
        <w:jc w:val="left"/>
      </w:pPr>
      <w:r>
        <w:rPr>
          <w:rFonts w:ascii="Calibri" w:cs="Calibri" w:eastAsia="Calibri" w:hAnsi="Calibri"/>
          <w:color w:val="232323"/>
          <w:sz w:val="21"/>
          <w:szCs w:val="21"/>
        </w:rPr>
        <w:t xml:space="preserve">Esta sección integra, en una sola línea de tiempo, las siete fases de construcción descritas en las secciones 4 a 10 con la hoja de ruta de negocio presentada en la sección 16 del Plan de Negocios, permitiendo a los representantes visualizar cómo el trabajo sprint a sprint se traduce en los hitos de negocio comprometidos ante los inversionistas.</w:t>
      </w:r>
    </w:p>
    <w:p>
      <w:pPr>
        <w:pStyle w:val="Heading2"/>
        <w:spacing w:after="160" w:before="340"/>
      </w:pPr>
      <w:r>
        <w:rPr>
          <w:rFonts w:ascii="Calibri" w:cs="Calibri" w:eastAsia="Calibri" w:hAnsi="Calibri"/>
          <w:b/>
          <w:bCs/>
          <w:color w:val="1F6F4A"/>
          <w:sz w:val="26"/>
          <w:szCs w:val="26"/>
        </w:rPr>
        <w:t xml:space="preserve">11.1 Relación con la Hoja de Ruta del Plan de Negocios</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2791"/>
        <w:gridCol w:w="1395"/>
        <w:gridCol w:w="4886"/>
      </w:tblGrid>
      <w:tr>
        <w:trPr>
          <w:cantSplit/>
          <w:tblHeader/>
        </w:trPr>
        <w:tc>
          <w:tcPr>
            <w:tcW w:type="dxa" w:w="2791"/>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Fase de negocio (Plan de Negocios, sección 16.1)</w:t>
            </w:r>
          </w:p>
        </w:tc>
        <w:tc>
          <w:tcPr>
            <w:tcW w:type="dxa" w:w="1395"/>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Horizonte</w:t>
            </w:r>
          </w:p>
        </w:tc>
        <w:tc>
          <w:tcPr>
            <w:tcW w:type="dxa" w:w="4886"/>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Fases de construcción de este documento</w:t>
            </w:r>
          </w:p>
        </w:tc>
      </w:tr>
      <w:tr>
        <w:trPr>
          <w:cantSplit/>
        </w:trPr>
        <w:tc>
          <w:tcPr>
            <w:tcW w:type="dxa" w:w="279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Fase 0 — Fundacional</w:t>
            </w:r>
          </w:p>
        </w:tc>
        <w:tc>
          <w:tcPr>
            <w:tcW w:type="dxa" w:w="1395"/>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Mes 0 – 3</w:t>
            </w:r>
          </w:p>
        </w:tc>
        <w:tc>
          <w:tcPr>
            <w:tcW w:type="dxa" w:w="488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Cierre de ronda semilla en paralelo a las Fases 1 y 2 de construcción (Requerimientos y Diseño), que pueden iniciarse antes del cierre formal de la inversión</w:t>
            </w:r>
          </w:p>
        </w:tc>
      </w:tr>
      <w:tr>
        <w:trPr>
          <w:cantSplit/>
        </w:trPr>
        <w:tc>
          <w:tcPr>
            <w:tcW w:type="dxa" w:w="279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Fase 1 — MVP y validación</w:t>
            </w:r>
          </w:p>
        </w:tc>
        <w:tc>
          <w:tcPr>
            <w:tcW w:type="dxa" w:w="1395"/>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Mes 3 – 6</w:t>
            </w:r>
          </w:p>
        </w:tc>
        <w:tc>
          <w:tcPr>
            <w:tcW w:type="dxa" w:w="488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Fase 3 (Sprint 0) y Fase 4 (Sprints 1 a 6) de construcción; cierre con la Fase 6 (Despliegue del Release 2 — piloto)</w:t>
            </w:r>
          </w:p>
        </w:tc>
      </w:tr>
      <w:tr>
        <w:trPr>
          <w:cantSplit/>
        </w:trPr>
        <w:tc>
          <w:tcPr>
            <w:tcW w:type="dxa" w:w="279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Fase 2 — Lanzamiento Cusco</w:t>
            </w:r>
          </w:p>
        </w:tc>
        <w:tc>
          <w:tcPr>
            <w:tcW w:type="dxa" w:w="1395"/>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Mes 6 – 12</w:t>
            </w:r>
          </w:p>
        </w:tc>
        <w:tc>
          <w:tcPr>
            <w:tcW w:type="dxa" w:w="488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Fase 4 (Sprints 7 a 12 y siguientes) y Fase 7 (Operación y mantenimiento) en régimen continuo</w:t>
            </w:r>
          </w:p>
        </w:tc>
      </w:tr>
      <w:tr>
        <w:trPr>
          <w:cantSplit/>
        </w:trPr>
        <w:tc>
          <w:tcPr>
            <w:tcW w:type="dxa" w:w="279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Fase 3 — Consolidación (Valle Sagrado)</w:t>
            </w:r>
          </w:p>
        </w:tc>
        <w:tc>
          <w:tcPr>
            <w:tcW w:type="dxa" w:w="1395"/>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Mes 12 – 20</w:t>
            </w:r>
          </w:p>
        </w:tc>
        <w:tc>
          <w:tcPr>
            <w:tcW w:type="dxa" w:w="4886"/>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Ciclo continuo de sprints (Fases 4, 5, 6 y 7), incorporando nuevas historias de expansión geográfica</w:t>
            </w:r>
          </w:p>
        </w:tc>
      </w:tr>
      <w:tr>
        <w:trPr>
          <w:cantSplit/>
        </w:trPr>
        <w:tc>
          <w:tcPr>
            <w:tcW w:type="dxa" w:w="279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Fases 4 y 5 — Expansión regional y escalamiento nacional</w:t>
            </w:r>
          </w:p>
        </w:tc>
        <w:tc>
          <w:tcPr>
            <w:tcW w:type="dxa" w:w="1395"/>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Mes 20 – 60</w:t>
            </w:r>
          </w:p>
        </w:tc>
        <w:tc>
          <w:tcPr>
            <w:tcW w:type="dxa" w:w="4886"/>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Revisión trimestral de arquitectura (sección 10.6) y eventual desdoblamiento en múltiples equipos Scrum (Scrum of Scrums)</w:t>
            </w:r>
          </w:p>
        </w:tc>
      </w:tr>
    </w:tbl>
    <w:p>
      <w:pPr>
        <w:spacing w:after="160"/>
      </w:pPr>
    </w:p>
    <w:p>
      <w:pPr>
        <w:pStyle w:val="Heading2"/>
        <w:spacing w:after="160" w:before="340"/>
      </w:pPr>
      <w:r>
        <w:rPr>
          <w:rFonts w:ascii="Calibri" w:cs="Calibri" w:eastAsia="Calibri" w:hAnsi="Calibri"/>
          <w:b/>
          <w:bCs/>
          <w:color w:val="1F6F4A"/>
          <w:sz w:val="26"/>
          <w:szCs w:val="26"/>
        </w:rPr>
        <w:t xml:space="preserve">11.2 Cronograma Detallado de Construcción (Mes 0 a Mes 12)</w:t>
      </w:r>
    </w:p>
    <w:p>
      <w:pPr>
        <w:spacing w:after="160" w:line="276"/>
        <w:jc w:val="left"/>
      </w:pPr>
      <w:r>
        <w:rPr>
          <w:rFonts w:ascii="Calibri" w:cs="Calibri" w:eastAsia="Calibri" w:hAnsi="Calibri"/>
          <w:color w:val="232323"/>
          <w:sz w:val="21"/>
          <w:szCs w:val="21"/>
        </w:rPr>
        <w:t xml:space="preserve">El siguiente diagrama de Gantt detalla, sprint a sprint, la secuencia de trabajo de las Fases 1 a 6 de este documento, cubriendo el periodo de mayor intensidad de construcción del proyecto.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cantSplit/>
        </w:trPr>
        <w:tc>
          <w:tcPr>
            <w:tcW w:type="dxa" w:w="9072"/>
            <w:tcBorders>
              <w:top w:val="dashed" w:color="9BB8AC" w:sz="6"/>
              <w:left w:val="dashed" w:color="9BB8AC" w:sz="6"/>
              <w:bottom w:val="dashed" w:color="9BB8AC" w:sz="6"/>
              <w:right w:val="dashed" w:color="9BB8AC" w:sz="6"/>
            </w:tcBorders>
            <w:shd w:fill="F5F8F7" w:val="clear"/>
            <w:tcMar>
              <w:top w:type="dxa" w:w="260"/>
              <w:left w:type="dxa" w:w="260"/>
              <w:bottom w:type="dxa" w:w="260"/>
              <w:right w:type="dxa" w:w="260"/>
            </w:tcMar>
            <w:vAlign w:val="center"/>
          </w:tcPr>
          <w:p>
            <w:pPr>
              <w:spacing w:before="420"/>
              <w:jc w:val="center"/>
            </w:pPr>
            <w:r>
              <w:rPr>
                <w:rFonts w:ascii="Calibri" w:cs="Calibri" w:eastAsia="Calibri" w:hAnsi="Calibri"/>
                <w:color w:val="1F6F4A"/>
                <w:sz w:val="44"/>
                <w:szCs w:val="44"/>
              </w:rPr>
              <w:t xml:space="preserve">◈</w:t>
            </w:r>
          </w:p>
          <w:p>
            <w:pPr>
              <w:spacing w:before="100"/>
              <w:jc w:val="center"/>
            </w:pPr>
            <w:r>
              <w:rPr>
                <w:rFonts w:ascii="Calibri" w:cs="Calibri" w:eastAsia="Calibri" w:hAnsi="Calibri"/>
                <w:b/>
                <w:bCs/>
                <w:color w:val="173F32"/>
                <w:sz w:val="19"/>
                <w:szCs w:val="19"/>
              </w:rPr>
              <w:t xml:space="preserve">ESPACIO RESERVADO PARA IMAGEN / DISEÑO</w:t>
            </w:r>
          </w:p>
          <w:p>
            <w:pPr>
              <w:spacing w:after="420" w:before="90"/>
              <w:ind w:left="900" w:right="900"/>
              <w:jc w:val="center"/>
            </w:pPr>
            <w:r>
              <w:rPr>
                <w:rFonts w:ascii="Calibri" w:cs="Calibri" w:eastAsia="Calibri" w:hAnsi="Calibri"/>
                <w:i/>
                <w:iCs/>
                <w:color w:val="5B5B5B"/>
                <w:sz w:val="18"/>
                <w:szCs w:val="18"/>
              </w:rPr>
              <w:t xml:space="preserve">Diagrama de Gantt con las fases de Requerimientos, Diseño, Sprint 0 y los Sprints 1 a 12+ en el eje horizontal (semanas 1 a 52), señalando los hitos de Release 1 (Alpha), Release 2 (Beta/piloto) y Release 3 (lanzamiento comercial).</w:t>
            </w:r>
          </w:p>
        </w:tc>
      </w:tr>
    </w:tbl>
    <w:p>
      <w:pPr>
        <w:spacing w:after="260" w:before="80"/>
        <w:jc w:val="center"/>
      </w:pPr>
      <w:r>
        <w:rPr>
          <w:rFonts w:ascii="Calibri" w:cs="Calibri" w:eastAsia="Calibri" w:hAnsi="Calibri"/>
          <w:i/>
          <w:iCs/>
          <w:color w:val="5B5B5B"/>
          <w:sz w:val="18"/>
          <w:szCs w:val="18"/>
        </w:rPr>
        <w:t xml:space="preserve">Figura P13. Cronograma detallado de construcción — Mes 0 a Mes 12 (diagrama de Gantt por sprint).</w:t>
      </w:r>
    </w:p>
    <w:p>
      <w:pPr>
        <w:pStyle w:val="Heading1"/>
        <w:pageBreakBefore/>
        <w:pBdr>
          <w:bottom w:val="single" w:color="1F6F4A" w:sz="14" w:space="8"/>
        </w:pBdr>
        <w:spacing w:after="260" w:before="0"/>
      </w:pPr>
      <w:r>
        <w:rPr>
          <w:rFonts w:ascii="Calibri" w:cs="Calibri" w:eastAsia="Calibri" w:hAnsi="Calibri"/>
          <w:b/>
          <w:bCs/>
          <w:color w:val="173F32"/>
          <w:sz w:val="32"/>
          <w:szCs w:val="32"/>
        </w:rPr>
        <w:t xml:space="preserve">12. Estructura del Equipo de Proyecto</w:t>
      </w:r>
    </w:p>
    <w:p>
      <w:pPr>
        <w:spacing w:after="160" w:line="276"/>
        <w:jc w:val="left"/>
      </w:pPr>
      <w:r>
        <w:rPr>
          <w:rFonts w:ascii="Calibri" w:cs="Calibri" w:eastAsia="Calibri" w:hAnsi="Calibri"/>
          <w:color w:val="232323"/>
          <w:sz w:val="21"/>
          <w:szCs w:val="21"/>
        </w:rPr>
        <w:t xml:space="preserve">Esta sección traduce la estructura organizacional de seis posiciones definida en la sección 14 del Plan de Negocios a los tres roles Scrum descritos en la sección 3.3, y establece con claridad quién decide, quién ejecuta y quién debe estar informado en las actividades más relevantes del proyecto de construcción.</w:t>
      </w:r>
    </w:p>
    <w:p>
      <w:pPr>
        <w:pStyle w:val="Heading2"/>
        <w:spacing w:after="160" w:before="340"/>
      </w:pPr>
      <w:r>
        <w:rPr>
          <w:rFonts w:ascii="Calibri" w:cs="Calibri" w:eastAsia="Calibri" w:hAnsi="Calibri"/>
          <w:b/>
          <w:bCs/>
          <w:color w:val="1F6F4A"/>
          <w:sz w:val="26"/>
          <w:szCs w:val="26"/>
        </w:rPr>
        <w:t xml:space="preserve">12.1 Mapeo de Roles Scrum a la Estructura Organizacional</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2268"/>
        <w:gridCol w:w="3024"/>
        <w:gridCol w:w="3780"/>
      </w:tblGrid>
      <w:tr>
        <w:trPr>
          <w:cantSplit/>
          <w:tblHeader/>
        </w:trPr>
        <w:tc>
          <w:tcPr>
            <w:tcW w:type="dxa" w:w="2268"/>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Rol Scrum</w:t>
            </w:r>
          </w:p>
        </w:tc>
        <w:tc>
          <w:tcPr>
            <w:tcW w:type="dxa" w:w="3024"/>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Posición (sección 14.1 del Plan de Negocios)</w:t>
            </w:r>
          </w:p>
        </w:tc>
        <w:tc>
          <w:tcPr>
            <w:tcW w:type="dxa" w:w="3780"/>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Nota</w:t>
            </w:r>
          </w:p>
        </w:tc>
      </w:tr>
      <w:tr>
        <w:trPr>
          <w:cantSplit/>
        </w:trPr>
        <w:tc>
          <w:tcPr>
            <w:tcW w:type="dxa" w:w="2268"/>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Product Owner</w:t>
            </w:r>
          </w:p>
        </w:tc>
        <w:tc>
          <w:tcPr>
            <w:tcW w:type="dxa" w:w="302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Fundador(a) / CEO</w:t>
            </w:r>
          </w:p>
        </w:tc>
        <w:tc>
          <w:tcPr>
            <w:tcW w:type="dxa" w:w="3780"/>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Combina la visión de negocio con la priorización técnica del backlog durante la etapa temprana del proyecto</w:t>
            </w:r>
          </w:p>
        </w:tc>
      </w:tr>
      <w:tr>
        <w:trPr>
          <w:cantSplit/>
        </w:trPr>
        <w:tc>
          <w:tcPr>
            <w:tcW w:type="dxa" w:w="2268"/>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Scrum Master</w:t>
            </w:r>
          </w:p>
        </w:tc>
        <w:tc>
          <w:tcPr>
            <w:tcW w:type="dxa" w:w="302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CTO / Líder técnico</w:t>
            </w:r>
          </w:p>
        </w:tc>
        <w:tc>
          <w:tcPr>
            <w:tcW w:type="dxa" w:w="3780"/>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Asume el rol junto a sus responsabilidades de arquitectura; se recomienda evaluar un Scrum Master dedicado si el equipo crece más allá de 10 personas (fases 3–4 de expansión)</w:t>
            </w:r>
          </w:p>
        </w:tc>
      </w:tr>
      <w:tr>
        <w:trPr>
          <w:cantSplit/>
        </w:trPr>
        <w:tc>
          <w:tcPr>
            <w:tcW w:type="dxa" w:w="2268"/>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Equipo de Desarrollo</w:t>
            </w:r>
          </w:p>
        </w:tc>
        <w:tc>
          <w:tcPr>
            <w:tcW w:type="dxa" w:w="302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Desarrollador(a) full-stack + CTO (capacidad de desarrollo) + Diseño UX/UI (retainer)</w:t>
            </w:r>
          </w:p>
        </w:tc>
        <w:tc>
          <w:tcPr>
            <w:tcW w:type="dxa" w:w="3780"/>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El diseño UX/UI participa como parte del equipo de desarrollo en las historias que involucran interfaz de usuario</w:t>
            </w:r>
          </w:p>
        </w:tc>
      </w:tr>
      <w:tr>
        <w:trPr>
          <w:cantSplit/>
        </w:trPr>
        <w:tc>
          <w:tcPr>
            <w:tcW w:type="dxa" w:w="2268"/>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Interesados (Stakeholders), no forman parte del equipo Scrum</w:t>
            </w:r>
          </w:p>
        </w:tc>
        <w:tc>
          <w:tcPr>
            <w:tcW w:type="dxa" w:w="302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Responsable comercial / Growth; Soporte al cliente y marketing digital</w:t>
            </w:r>
          </w:p>
        </w:tc>
        <w:tc>
          <w:tcPr>
            <w:tcW w:type="dxa" w:w="3780"/>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Participan en el Sprint Review como interesados y alimentan el Product Backlog con retroalimentación de mercado (sección 15)</w:t>
            </w:r>
          </w:p>
        </w:tc>
      </w:tr>
    </w:tbl>
    <w:p>
      <w:pPr>
        <w:spacing w:after="160"/>
      </w:pPr>
    </w:p>
    <w:p>
      <w:pPr>
        <w:pStyle w:val="Heading2"/>
        <w:spacing w:after="160" w:before="340"/>
      </w:pPr>
      <w:r>
        <w:rPr>
          <w:rFonts w:ascii="Calibri" w:cs="Calibri" w:eastAsia="Calibri" w:hAnsi="Calibri"/>
          <w:b/>
          <w:bCs/>
          <w:color w:val="1F6F4A"/>
          <w:sz w:val="26"/>
          <w:szCs w:val="26"/>
        </w:rPr>
        <w:t xml:space="preserve">12.2 Matriz RACI</w:t>
      </w:r>
    </w:p>
    <w:p>
      <w:pPr>
        <w:spacing w:after="160" w:line="276"/>
        <w:jc w:val="left"/>
      </w:pPr>
      <w:r>
        <w:rPr>
          <w:rFonts w:ascii="Calibri" w:cs="Calibri" w:eastAsia="Calibri" w:hAnsi="Calibri"/>
          <w:color w:val="232323"/>
          <w:sz w:val="21"/>
          <w:szCs w:val="21"/>
        </w:rPr>
        <w:t xml:space="preserve">La matriz RACI (Responsable, Aprueba, Consultado, Informado) aclara la participación de cada rol en las decisiones y actividades más relevantes del proyecto, evitando la ambigüedad que suele surgir en equipos pequeños donde una misma persona puede ocupar más de un rol.</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3024"/>
        <w:gridCol w:w="1512"/>
        <w:gridCol w:w="1512"/>
        <w:gridCol w:w="1512"/>
        <w:gridCol w:w="1512"/>
      </w:tblGrid>
      <w:tr>
        <w:trPr>
          <w:cantSplit/>
          <w:tblHeader/>
        </w:trPr>
        <w:tc>
          <w:tcPr>
            <w:tcW w:type="dxa" w:w="3024"/>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Actividad</w:t>
            </w:r>
          </w:p>
        </w:tc>
        <w:tc>
          <w:tcPr>
            <w:tcW w:type="dxa" w:w="1512"/>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Product Owner</w:t>
            </w:r>
          </w:p>
        </w:tc>
        <w:tc>
          <w:tcPr>
            <w:tcW w:type="dxa" w:w="1512"/>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Scrum Master</w:t>
            </w:r>
          </w:p>
        </w:tc>
        <w:tc>
          <w:tcPr>
            <w:tcW w:type="dxa" w:w="1512"/>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Equipo Dev.</w:t>
            </w:r>
          </w:p>
        </w:tc>
        <w:tc>
          <w:tcPr>
            <w:tcW w:type="dxa" w:w="1512"/>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Comercial / Growth</w:t>
            </w:r>
          </w:p>
        </w:tc>
      </w:tr>
      <w:tr>
        <w:trPr>
          <w:cantSplit/>
        </w:trPr>
        <w:tc>
          <w:tcPr>
            <w:tcW w:type="dxa" w:w="302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Priorización del Product Backlog</w:t>
            </w:r>
          </w:p>
        </w:tc>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R/A</w:t>
            </w:r>
          </w:p>
        </w:tc>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w:t>
            </w:r>
          </w:p>
        </w:tc>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w:t>
            </w:r>
          </w:p>
        </w:tc>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w:t>
            </w:r>
          </w:p>
        </w:tc>
      </w:tr>
      <w:tr>
        <w:trPr>
          <w:cantSplit/>
        </w:trPr>
        <w:tc>
          <w:tcPr>
            <w:tcW w:type="dxa" w:w="302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Estimación de historias de usuario</w:t>
            </w:r>
          </w:p>
        </w:tc>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w:t>
            </w:r>
          </w:p>
        </w:tc>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w:t>
            </w:r>
          </w:p>
        </w:tc>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R/A</w:t>
            </w:r>
          </w:p>
        </w:tc>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w:t>
            </w:r>
          </w:p>
        </w:tc>
      </w:tr>
      <w:tr>
        <w:trPr>
          <w:cantSplit/>
        </w:trPr>
        <w:tc>
          <w:tcPr>
            <w:tcW w:type="dxa" w:w="302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Decisiones de arquitectura técnica</w:t>
            </w:r>
          </w:p>
        </w:tc>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w:t>
            </w:r>
          </w:p>
        </w:tc>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w:t>
            </w:r>
          </w:p>
        </w:tc>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R/A</w:t>
            </w:r>
          </w:p>
        </w:tc>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w:t>
            </w:r>
          </w:p>
        </w:tc>
      </w:tr>
      <w:tr>
        <w:trPr>
          <w:cantSplit/>
        </w:trPr>
        <w:tc>
          <w:tcPr>
            <w:tcW w:type="dxa" w:w="302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Aceptación del incremento (Sprint Review)</w:t>
            </w:r>
          </w:p>
        </w:tc>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R/A</w:t>
            </w:r>
          </w:p>
        </w:tc>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w:t>
            </w:r>
          </w:p>
        </w:tc>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w:t>
            </w:r>
          </w:p>
        </w:tc>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w:t>
            </w:r>
          </w:p>
        </w:tc>
      </w:tr>
      <w:tr>
        <w:trPr>
          <w:cantSplit/>
        </w:trPr>
        <w:tc>
          <w:tcPr>
            <w:tcW w:type="dxa" w:w="302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Onboarding de centros deportivos piloto</w:t>
            </w:r>
          </w:p>
        </w:tc>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w:t>
            </w:r>
          </w:p>
        </w:tc>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w:t>
            </w:r>
          </w:p>
        </w:tc>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w:t>
            </w:r>
          </w:p>
        </w:tc>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w:t>
            </w:r>
          </w:p>
        </w:tc>
      </w:tr>
      <w:tr>
        <w:trPr>
          <w:cantSplit/>
        </w:trPr>
        <w:tc>
          <w:tcPr>
            <w:tcW w:type="dxa" w:w="302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Gestión de incidentes críticos (Sev1/Sev2)</w:t>
            </w:r>
          </w:p>
        </w:tc>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w:t>
            </w:r>
          </w:p>
        </w:tc>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w:t>
            </w:r>
          </w:p>
        </w:tc>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R/A</w:t>
            </w:r>
          </w:p>
        </w:tc>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w:t>
            </w:r>
          </w:p>
        </w:tc>
      </w:tr>
      <w:tr>
        <w:trPr>
          <w:cantSplit/>
        </w:trPr>
        <w:tc>
          <w:tcPr>
            <w:tcW w:type="dxa" w:w="302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Comunicación con representantes e inversionistas</w:t>
            </w:r>
          </w:p>
        </w:tc>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R/A</w:t>
            </w:r>
          </w:p>
        </w:tc>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w:t>
            </w:r>
          </w:p>
        </w:tc>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w:t>
            </w:r>
          </w:p>
        </w:tc>
        <w:tc>
          <w:tcPr>
            <w:tcW w:type="dxa" w:w="1512"/>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w:t>
            </w:r>
          </w:p>
        </w:tc>
      </w:tr>
      <w:tr>
        <w:trPr>
          <w:cantSplit/>
        </w:trPr>
        <w:tc>
          <w:tcPr>
            <w:tcW w:type="dxa" w:w="302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Aprobación de cambios de alto impacto</w:t>
            </w:r>
          </w:p>
        </w:tc>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w:t>
            </w:r>
          </w:p>
        </w:tc>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w:t>
            </w:r>
          </w:p>
        </w:tc>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w:t>
            </w:r>
          </w:p>
        </w:tc>
        <w:tc>
          <w:tcPr>
            <w:tcW w:type="dxa" w:w="1512"/>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w:t>
            </w:r>
          </w:p>
        </w:tc>
      </w:tr>
    </w:tbl>
    <w:p>
      <w:pPr>
        <w:spacing w:after="160"/>
      </w:pPr>
    </w:p>
    <w:p>
      <w:pPr>
        <w:spacing w:after="220" w:before="60"/>
        <w:ind w:left="200"/>
      </w:pPr>
      <w:r>
        <w:rPr>
          <w:rFonts w:ascii="Calibri" w:cs="Calibri" w:eastAsia="Calibri" w:hAnsi="Calibri"/>
          <w:i/>
          <w:iCs/>
          <w:color w:val="5B5B5B"/>
          <w:sz w:val="19"/>
          <w:szCs w:val="19"/>
        </w:rPr>
        <w:t xml:space="preserve">R = Responsable de ejecutar · A = Aprueba (accountable) · C = Consultado antes de decidir · I = Informado tras la decisión.</w:t>
      </w:r>
    </w:p>
    <w:p>
      <w:pPr>
        <w:pStyle w:val="Heading2"/>
        <w:spacing w:after="160" w:before="340"/>
      </w:pPr>
      <w:r>
        <w:rPr>
          <w:rFonts w:ascii="Calibri" w:cs="Calibri" w:eastAsia="Calibri" w:hAnsi="Calibri"/>
          <w:b/>
          <w:bCs/>
          <w:color w:val="1F6F4A"/>
          <w:sz w:val="26"/>
          <w:szCs w:val="26"/>
        </w:rPr>
        <w:t xml:space="preserve">12.3 Evolución del Equipo</w:t>
      </w:r>
    </w:p>
    <w:p>
      <w:pPr>
        <w:spacing w:after="160" w:line="276"/>
        <w:jc w:val="left"/>
      </w:pPr>
      <w:r>
        <w:rPr>
          <w:rFonts w:ascii="Calibri" w:cs="Calibri" w:eastAsia="Calibri" w:hAnsi="Calibri"/>
          <w:color w:val="232323"/>
          <w:sz w:val="21"/>
          <w:szCs w:val="21"/>
        </w:rPr>
        <w:t xml:space="preserve">Conforme la operación se expanda hacia el Valle Sagrado, Arequipa y Puno (Fases 3 y 4 del alcance de negocio), el plan de contratación descrito en la sección 14.3 del Plan de Negocios incorporará principalmente posiciones comerciales y de soporte en cada nueva ciudad, mientras el equipo técnico central permanece en Cusco. Cuando el equipo de desarrollo supere las 8 a 10 personas, se recomienda evaluar la transición hacia un modelo de </w:t>
      </w:r>
      <w:r>
        <w:rPr>
          <w:rFonts w:ascii="Calibri" w:cs="Calibri" w:eastAsia="Calibri" w:hAnsi="Calibri"/>
          <w:b/>
          <w:bCs/>
          <w:color w:val="232323"/>
          <w:sz w:val="21"/>
          <w:szCs w:val="21"/>
        </w:rPr>
        <w:t xml:space="preserve">Scrum of Scrums</w:t>
      </w:r>
      <w:r>
        <w:rPr>
          <w:rFonts w:ascii="Calibri" w:cs="Calibri" w:eastAsia="Calibri" w:hAnsi="Calibri"/>
          <w:color w:val="232323"/>
          <w:sz w:val="21"/>
          <w:szCs w:val="21"/>
        </w:rPr>
        <w:t xml:space="preserve">, dividiendo el trabajo en dos escuadras (por ejemplo, «Transacciones» y «Campeonatos y Crecimiento»), cada una con su propio Sprint Backlog pero coordinadas mediante una ceremonia adicional de sincronización entre Scrum Masters.</w:t>
      </w:r>
    </w:p>
    <w:p>
      <w:pPr>
        <w:pStyle w:val="Heading1"/>
        <w:pageBreakBefore/>
        <w:pBdr>
          <w:bottom w:val="single" w:color="1F6F4A" w:sz="14" w:space="8"/>
        </w:pBdr>
        <w:spacing w:after="260" w:before="0"/>
      </w:pPr>
      <w:r>
        <w:rPr>
          <w:rFonts w:ascii="Calibri" w:cs="Calibri" w:eastAsia="Calibri" w:hAnsi="Calibri"/>
          <w:b/>
          <w:bCs/>
          <w:color w:val="173F32"/>
          <w:sz w:val="32"/>
          <w:szCs w:val="32"/>
        </w:rPr>
        <w:t xml:space="preserve">13. Gestión de Riesgos del Proyecto de Construcción</w:t>
      </w:r>
    </w:p>
    <w:p>
      <w:pPr>
        <w:spacing w:after="160" w:line="276"/>
        <w:jc w:val="left"/>
      </w:pPr>
      <w:r>
        <w:rPr>
          <w:rFonts w:ascii="Calibri" w:cs="Calibri" w:eastAsia="Calibri" w:hAnsi="Calibri"/>
          <w:color w:val="232323"/>
          <w:sz w:val="21"/>
          <w:szCs w:val="21"/>
        </w:rPr>
        <w:t xml:space="preserve">La sección 12 del Plan de Negocios identifica los riesgos de mercado, tecnológicos, financieros y operativos del negocio en su conjunto. Esta sección se enfoca, de forma complementaria y sin duplicar dicho análisis, en los riesgos propios de la </w:t>
      </w:r>
      <w:r>
        <w:rPr>
          <w:rFonts w:ascii="Calibri" w:cs="Calibri" w:eastAsia="Calibri" w:hAnsi="Calibri"/>
          <w:b/>
          <w:bCs/>
          <w:color w:val="232323"/>
          <w:sz w:val="21"/>
          <w:szCs w:val="21"/>
        </w:rPr>
        <w:t xml:space="preserve">ejecución técnica</w:t>
      </w:r>
      <w:r>
        <w:rPr>
          <w:rFonts w:ascii="Calibri" w:cs="Calibri" w:eastAsia="Calibri" w:hAnsi="Calibri"/>
          <w:color w:val="232323"/>
          <w:sz w:val="21"/>
          <w:szCs w:val="21"/>
        </w:rPr>
        <w:t xml:space="preserve"> del proyecto de construcción bajo metodología ágil.</w:t>
      </w:r>
    </w:p>
    <w:p>
      <w:pPr>
        <w:pStyle w:val="Heading2"/>
        <w:spacing w:after="160" w:before="340"/>
      </w:pPr>
      <w:r>
        <w:rPr>
          <w:rFonts w:ascii="Calibri" w:cs="Calibri" w:eastAsia="Calibri" w:hAnsi="Calibri"/>
          <w:b/>
          <w:bCs/>
          <w:color w:val="1F6F4A"/>
          <w:sz w:val="26"/>
          <w:szCs w:val="26"/>
        </w:rPr>
        <w:t xml:space="preserve">13.1 Riesgos Técnicos</w:t>
      </w:r>
    </w:p>
    <w:p>
      <w:pPr>
        <w:pStyle w:val="ListParagraph"/>
        <w:numPr>
          <w:ilvl w:val="0"/>
          <w:numId w:val="2"/>
        </w:numPr>
        <w:spacing w:after="90" w:line="264"/>
      </w:pPr>
      <w:r>
        <w:rPr>
          <w:rFonts w:ascii="Calibri" w:cs="Calibri" w:eastAsia="Calibri" w:hAnsi="Calibri"/>
          <w:b/>
          <w:bCs/>
          <w:color w:val="232323"/>
          <w:sz w:val="21"/>
          <w:szCs w:val="21"/>
        </w:rPr>
        <w:t xml:space="preserve">Subestimación sistemática de historias de usuario: </w:t>
      </w:r>
      <w:r>
        <w:rPr>
          <w:rFonts w:ascii="Calibri" w:cs="Calibri" w:eastAsia="Calibri" w:hAnsi="Calibri"/>
          <w:color w:val="232323"/>
          <w:sz w:val="21"/>
          <w:szCs w:val="21"/>
        </w:rPr>
        <w:t xml:space="preserve">al ser un equipo nuevo trabajando junto por primera vez, la velocity inicial es poco confiable y puede llevar a comprometer más trabajo del que el equipo puede completar.</w:t>
      </w:r>
    </w:p>
    <w:p>
      <w:pPr>
        <w:pStyle w:val="ListParagraph"/>
        <w:numPr>
          <w:ilvl w:val="0"/>
          <w:numId w:val="2"/>
        </w:numPr>
        <w:spacing w:after="90" w:line="264"/>
      </w:pPr>
      <w:r>
        <w:rPr>
          <w:rFonts w:ascii="Calibri" w:cs="Calibri" w:eastAsia="Calibri" w:hAnsi="Calibri"/>
          <w:b/>
          <w:bCs/>
          <w:color w:val="232323"/>
          <w:sz w:val="21"/>
          <w:szCs w:val="21"/>
        </w:rPr>
        <w:t xml:space="preserve">Dependencia de terceros críticos: </w:t>
      </w:r>
      <w:r>
        <w:rPr>
          <w:rFonts w:ascii="Calibri" w:cs="Calibri" w:eastAsia="Calibri" w:hAnsi="Calibri"/>
          <w:color w:val="232323"/>
          <w:sz w:val="21"/>
          <w:szCs w:val="21"/>
        </w:rPr>
        <w:t xml:space="preserve">la pasarela de pago (Culqi/Niubiz), la API de WhatsApp Business y Google Maps Platform son dependencias externas cuya disponibilidad o cambios de contrato de API escapan al control directo del equipo.</w:t>
      </w:r>
    </w:p>
    <w:p>
      <w:pPr>
        <w:pStyle w:val="ListParagraph"/>
        <w:numPr>
          <w:ilvl w:val="0"/>
          <w:numId w:val="2"/>
        </w:numPr>
        <w:spacing w:after="90" w:line="264"/>
      </w:pPr>
      <w:r>
        <w:rPr>
          <w:rFonts w:ascii="Calibri" w:cs="Calibri" w:eastAsia="Calibri" w:hAnsi="Calibri"/>
          <w:b/>
          <w:bCs/>
          <w:color w:val="232323"/>
          <w:sz w:val="21"/>
          <w:szCs w:val="21"/>
        </w:rPr>
        <w:t xml:space="preserve">Escalabilidad no anticipada: </w:t>
      </w:r>
      <w:r>
        <w:rPr>
          <w:rFonts w:ascii="Calibri" w:cs="Calibri" w:eastAsia="Calibri" w:hAnsi="Calibri"/>
          <w:color w:val="232323"/>
          <w:sz w:val="21"/>
          <w:szCs w:val="21"/>
        </w:rPr>
        <w:t xml:space="preserve">picos de demanda concentrados (fin de semana, lanzamiento de un campeonato masivo) pueden exponer cuellos de botella no detectados en pruebas de carga previas.</w:t>
      </w:r>
    </w:p>
    <w:p>
      <w:pPr>
        <w:pStyle w:val="ListParagraph"/>
        <w:numPr>
          <w:ilvl w:val="0"/>
          <w:numId w:val="2"/>
        </w:numPr>
        <w:spacing w:after="90" w:line="264"/>
      </w:pPr>
      <w:r>
        <w:rPr>
          <w:rFonts w:ascii="Calibri" w:cs="Calibri" w:eastAsia="Calibri" w:hAnsi="Calibri"/>
          <w:b/>
          <w:bCs/>
          <w:color w:val="232323"/>
          <w:sz w:val="21"/>
          <w:szCs w:val="21"/>
        </w:rPr>
        <w:t xml:space="preserve">Acumulación silenciosa de deuda técnica: </w:t>
      </w:r>
      <w:r>
        <w:rPr>
          <w:rFonts w:ascii="Calibri" w:cs="Calibri" w:eastAsia="Calibri" w:hAnsi="Calibri"/>
          <w:color w:val="232323"/>
          <w:sz w:val="21"/>
          <w:szCs w:val="21"/>
        </w:rPr>
        <w:t xml:space="preserve">la presión por mostrar avance a los representantes puede llevar a posponer indefinidamente la cuota de deuda técnica definida en la sección 7.4.</w:t>
      </w:r>
    </w:p>
    <w:p>
      <w:pPr>
        <w:pStyle w:val="Heading2"/>
        <w:spacing w:after="160" w:before="340"/>
      </w:pPr>
      <w:r>
        <w:rPr>
          <w:rFonts w:ascii="Calibri" w:cs="Calibri" w:eastAsia="Calibri" w:hAnsi="Calibri"/>
          <w:b/>
          <w:bCs/>
          <w:color w:val="1F6F4A"/>
          <w:sz w:val="26"/>
          <w:szCs w:val="26"/>
        </w:rPr>
        <w:t xml:space="preserve">13.2 Riesgos de Ejecución Ágil</w:t>
      </w:r>
    </w:p>
    <w:p>
      <w:pPr>
        <w:pStyle w:val="ListParagraph"/>
        <w:numPr>
          <w:ilvl w:val="0"/>
          <w:numId w:val="2"/>
        </w:numPr>
        <w:spacing w:after="90" w:line="264"/>
      </w:pPr>
      <w:r>
        <w:rPr>
          <w:rFonts w:ascii="Calibri" w:cs="Calibri" w:eastAsia="Calibri" w:hAnsi="Calibri"/>
          <w:b/>
          <w:bCs/>
          <w:color w:val="232323"/>
          <w:sz w:val="21"/>
          <w:szCs w:val="21"/>
        </w:rPr>
        <w:t xml:space="preserve">Factor de bus (bus factor) bajo: </w:t>
      </w:r>
      <w:r>
        <w:rPr>
          <w:rFonts w:ascii="Calibri" w:cs="Calibri" w:eastAsia="Calibri" w:hAnsi="Calibri"/>
          <w:color w:val="232323"/>
          <w:sz w:val="21"/>
          <w:szCs w:val="21"/>
        </w:rPr>
        <w:t xml:space="preserve">con un equipo de desarrollo de solo dos a tres personas, la ausencia temporal de una de ellas puede detener el avance de un sprint completo.</w:t>
      </w:r>
    </w:p>
    <w:p>
      <w:pPr>
        <w:pStyle w:val="ListParagraph"/>
        <w:numPr>
          <w:ilvl w:val="0"/>
          <w:numId w:val="2"/>
        </w:numPr>
        <w:spacing w:after="90" w:line="264"/>
      </w:pPr>
      <w:r>
        <w:rPr>
          <w:rFonts w:ascii="Calibri" w:cs="Calibri" w:eastAsia="Calibri" w:hAnsi="Calibri"/>
          <w:b/>
          <w:bCs/>
          <w:color w:val="232323"/>
          <w:sz w:val="21"/>
          <w:szCs w:val="21"/>
        </w:rPr>
        <w:t xml:space="preserve">Interrupción del sprint por urgencias comerciales: </w:t>
      </w:r>
      <w:r>
        <w:rPr>
          <w:rFonts w:ascii="Calibri" w:cs="Calibri" w:eastAsia="Calibri" w:hAnsi="Calibri"/>
          <w:color w:val="232323"/>
          <w:sz w:val="21"/>
          <w:szCs w:val="21"/>
        </w:rPr>
        <w:t xml:space="preserve">el equipo comercial, presionado por cerrar la afiliación de un centro deportivo importante, puede solicitar cambios de alcance a mitad de sprint.</w:t>
      </w:r>
    </w:p>
    <w:p>
      <w:pPr>
        <w:pStyle w:val="ListParagraph"/>
        <w:numPr>
          <w:ilvl w:val="0"/>
          <w:numId w:val="2"/>
        </w:numPr>
        <w:spacing w:after="90" w:line="264"/>
      </w:pPr>
      <w:r>
        <w:rPr>
          <w:rFonts w:ascii="Calibri" w:cs="Calibri" w:eastAsia="Calibri" w:hAnsi="Calibri"/>
          <w:b/>
          <w:bCs/>
          <w:color w:val="232323"/>
          <w:sz w:val="21"/>
          <w:szCs w:val="21"/>
        </w:rPr>
        <w:t xml:space="preserve">Rotación temprana del equipo técnico: </w:t>
      </w:r>
      <w:r>
        <w:rPr>
          <w:rFonts w:ascii="Calibri" w:cs="Calibri" w:eastAsia="Calibri" w:hAnsi="Calibri"/>
          <w:color w:val="232323"/>
          <w:sz w:val="21"/>
          <w:szCs w:val="21"/>
        </w:rPr>
        <w:t xml:space="preserve">en una etapa donde gran parte del conocimiento reside en la memoria de una o dos personas y no en documentación formal.</w:t>
      </w:r>
    </w:p>
    <w:p>
      <w:pPr>
        <w:pStyle w:val="ListParagraph"/>
        <w:numPr>
          <w:ilvl w:val="0"/>
          <w:numId w:val="2"/>
        </w:numPr>
        <w:spacing w:after="90" w:line="264"/>
      </w:pPr>
      <w:r>
        <w:rPr>
          <w:rFonts w:ascii="Calibri" w:cs="Calibri" w:eastAsia="Calibri" w:hAnsi="Calibri"/>
          <w:b/>
          <w:bCs/>
          <w:color w:val="232323"/>
          <w:sz w:val="21"/>
          <w:szCs w:val="21"/>
        </w:rPr>
        <w:t xml:space="preserve">«Sprints cero» recurrentes: </w:t>
      </w:r>
      <w:r>
        <w:rPr>
          <w:rFonts w:ascii="Calibri" w:cs="Calibri" w:eastAsia="Calibri" w:hAnsi="Calibri"/>
          <w:color w:val="232323"/>
          <w:sz w:val="21"/>
          <w:szCs w:val="21"/>
        </w:rPr>
        <w:t xml:space="preserve">riesgo de que el equipo repetidamente no logre cerrar historias completas por una Definición de Listo aplicada de forma laxa (sección 3.6.1).</w:t>
      </w:r>
    </w:p>
    <w:p>
      <w:pPr>
        <w:pStyle w:val="Heading2"/>
        <w:spacing w:after="160" w:before="340"/>
      </w:pPr>
      <w:r>
        <w:rPr>
          <w:rFonts w:ascii="Calibri" w:cs="Calibri" w:eastAsia="Calibri" w:hAnsi="Calibri"/>
          <w:b/>
          <w:bCs/>
          <w:color w:val="1F6F4A"/>
          <w:sz w:val="26"/>
          <w:szCs w:val="26"/>
        </w:rPr>
        <w:t xml:space="preserve">13.3 Matriz de Riesgos y Mitigación</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3024"/>
        <w:gridCol w:w="831"/>
        <w:gridCol w:w="1134"/>
        <w:gridCol w:w="4083"/>
      </w:tblGrid>
      <w:tr>
        <w:trPr>
          <w:cantSplit/>
          <w:tblHeader/>
        </w:trPr>
        <w:tc>
          <w:tcPr>
            <w:tcW w:type="dxa" w:w="3024"/>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Riesgo</w:t>
            </w:r>
          </w:p>
        </w:tc>
        <w:tc>
          <w:tcPr>
            <w:tcW w:type="dxa" w:w="831"/>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Prob.</w:t>
            </w:r>
          </w:p>
        </w:tc>
        <w:tc>
          <w:tcPr>
            <w:tcW w:type="dxa" w:w="1134"/>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Impacto</w:t>
            </w:r>
          </w:p>
        </w:tc>
        <w:tc>
          <w:tcPr>
            <w:tcW w:type="dxa" w:w="4083"/>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Estrategia de mitigación</w:t>
            </w:r>
          </w:p>
        </w:tc>
      </w:tr>
      <w:tr>
        <w:trPr>
          <w:cantSplit/>
        </w:trPr>
        <w:tc>
          <w:tcPr>
            <w:tcW w:type="dxa" w:w="302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Subestimación de historias / desvíos de velocity</w:t>
            </w:r>
          </w:p>
        </w:tc>
        <w:tc>
          <w:tcPr>
            <w:tcW w:type="dxa" w:w="83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Alta</w:t>
            </w:r>
          </w:p>
        </w:tc>
        <w:tc>
          <w:tcPr>
            <w:tcW w:type="dxa" w:w="113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Medio</w:t>
            </w:r>
          </w:p>
        </w:tc>
        <w:tc>
          <w:tcPr>
            <w:tcW w:type="dxa" w:w="4083"/>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Recalibrar la velocity cada 3 sprints (sección 7.5); mantener el colchón de 15–20 % para deuda técnica como margen de absorción</w:t>
            </w:r>
          </w:p>
        </w:tc>
      </w:tr>
      <w:tr>
        <w:trPr>
          <w:cantSplit/>
        </w:trPr>
        <w:tc>
          <w:tcPr>
            <w:tcW w:type="dxa" w:w="302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Dependencia de la pasarela de pago</w:t>
            </w:r>
          </w:p>
        </w:tc>
        <w:tc>
          <w:tcPr>
            <w:tcW w:type="dxa" w:w="83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Media</w:t>
            </w:r>
          </w:p>
        </w:tc>
        <w:tc>
          <w:tcPr>
            <w:tcW w:type="dxa" w:w="113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Alto</w:t>
            </w:r>
          </w:p>
        </w:tc>
        <w:tc>
          <w:tcPr>
            <w:tcW w:type="dxa" w:w="4083"/>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Arquitectura desacoplada con Niubiz como respaldo (sección 7.1.4 del Plan de Negocios); monitoreo activo de disponibilidad de terceros (sección 10.5)</w:t>
            </w:r>
          </w:p>
        </w:tc>
      </w:tr>
      <w:tr>
        <w:trPr>
          <w:cantSplit/>
        </w:trPr>
        <w:tc>
          <w:tcPr>
            <w:tcW w:type="dxa" w:w="302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Factor de bus bajo en el equipo técnico</w:t>
            </w:r>
          </w:p>
        </w:tc>
        <w:tc>
          <w:tcPr>
            <w:tcW w:type="dxa" w:w="83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Media</w:t>
            </w:r>
          </w:p>
        </w:tc>
        <w:tc>
          <w:tcPr>
            <w:tcW w:type="dxa" w:w="113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Alto</w:t>
            </w:r>
          </w:p>
        </w:tc>
        <w:tc>
          <w:tcPr>
            <w:tcW w:type="dxa" w:w="4083"/>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Documentación de decisiones de arquitectura (ADR), programación en pareja en componentes críticos y revisión de código obligatoria (sección 7.3)</w:t>
            </w:r>
          </w:p>
        </w:tc>
      </w:tr>
      <w:tr>
        <w:trPr>
          <w:cantSplit/>
        </w:trPr>
        <w:tc>
          <w:tcPr>
            <w:tcW w:type="dxa" w:w="302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Interrupción del sprint por urgencias comerciales</w:t>
            </w:r>
          </w:p>
        </w:tc>
        <w:tc>
          <w:tcPr>
            <w:tcW w:type="dxa" w:w="83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Alta</w:t>
            </w:r>
          </w:p>
        </w:tc>
        <w:tc>
          <w:tcPr>
            <w:tcW w:type="dxa" w:w="113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Medio</w:t>
            </w:r>
          </w:p>
        </w:tc>
        <w:tc>
          <w:tcPr>
            <w:tcW w:type="dxa" w:w="4083"/>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El Scrum Master protege el Sprint Backlog (sección 3.3.2); urgencias reales se canalizan por el protocolo de hotfix (sección 10.4.1)</w:t>
            </w:r>
          </w:p>
        </w:tc>
      </w:tr>
      <w:tr>
        <w:trPr>
          <w:cantSplit/>
        </w:trPr>
        <w:tc>
          <w:tcPr>
            <w:tcW w:type="dxa" w:w="302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Acumulación no gestionada de deuda técnica</w:t>
            </w:r>
          </w:p>
        </w:tc>
        <w:tc>
          <w:tcPr>
            <w:tcW w:type="dxa" w:w="83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Media</w:t>
            </w:r>
          </w:p>
        </w:tc>
        <w:tc>
          <w:tcPr>
            <w:tcW w:type="dxa" w:w="113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Alto</w:t>
            </w:r>
          </w:p>
        </w:tc>
        <w:tc>
          <w:tcPr>
            <w:tcW w:type="dxa" w:w="4083"/>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Cuota fija por sprint (sección 7.4) y revisión trimestral de arquitectura (sección 10.6)</w:t>
            </w:r>
          </w:p>
        </w:tc>
      </w:tr>
      <w:tr>
        <w:trPr>
          <w:cantSplit/>
        </w:trPr>
        <w:tc>
          <w:tcPr>
            <w:tcW w:type="dxa" w:w="302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Picos de demanda no anticipados</w:t>
            </w:r>
          </w:p>
        </w:tc>
        <w:tc>
          <w:tcPr>
            <w:tcW w:type="dxa" w:w="83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Media</w:t>
            </w:r>
          </w:p>
        </w:tc>
        <w:tc>
          <w:tcPr>
            <w:tcW w:type="dxa" w:w="113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Alto</w:t>
            </w:r>
          </w:p>
        </w:tc>
        <w:tc>
          <w:tcPr>
            <w:tcW w:type="dxa" w:w="4083"/>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Pruebas de carga previas a cada release mayor (sección 8.3.1) y escalamiento horizontal selectivo (sección 7.5 del Plan de Negocios)</w:t>
            </w:r>
          </w:p>
        </w:tc>
      </w:tr>
      <w:tr>
        <w:trPr>
          <w:cantSplit/>
        </w:trPr>
        <w:tc>
          <w:tcPr>
            <w:tcW w:type="dxa" w:w="302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Rotación temprana del equipo técnico</w:t>
            </w:r>
          </w:p>
        </w:tc>
        <w:tc>
          <w:tcPr>
            <w:tcW w:type="dxa" w:w="83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Baja–Media</w:t>
            </w:r>
          </w:p>
        </w:tc>
        <w:tc>
          <w:tcPr>
            <w:tcW w:type="dxa" w:w="113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Alto</w:t>
            </w:r>
          </w:p>
        </w:tc>
        <w:tc>
          <w:tcPr>
            <w:tcW w:type="dxa" w:w="4083"/>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Documentación técnica viva, onboarding estructurado y esquemas de retención accionaria (sección 12.5.1 del Plan de Negocios)</w:t>
            </w:r>
          </w:p>
        </w:tc>
      </w:tr>
    </w:tbl>
    <w:p>
      <w:pPr>
        <w:spacing w:after="160"/>
      </w:pPr>
    </w:p>
    <w:p>
      <w:pPr>
        <w:pStyle w:val="Heading1"/>
        <w:pageBreakBefore/>
        <w:pBdr>
          <w:bottom w:val="single" w:color="1F6F4A" w:sz="14" w:space="8"/>
        </w:pBdr>
        <w:spacing w:after="260" w:before="0"/>
      </w:pPr>
      <w:r>
        <w:rPr>
          <w:rFonts w:ascii="Calibri" w:cs="Calibri" w:eastAsia="Calibri" w:hAnsi="Calibri"/>
          <w:b/>
          <w:bCs/>
          <w:color w:val="173F32"/>
          <w:sz w:val="32"/>
          <w:szCs w:val="32"/>
        </w:rPr>
        <w:t xml:space="preserve">14. Indicadores de Éxito y Métricas Ágiles</w:t>
      </w:r>
    </w:p>
    <w:p>
      <w:pPr>
        <w:spacing w:after="160" w:line="276"/>
        <w:jc w:val="left"/>
      </w:pPr>
      <w:r>
        <w:rPr>
          <w:rFonts w:ascii="Calibri" w:cs="Calibri" w:eastAsia="Calibri" w:hAnsi="Calibri"/>
          <w:color w:val="232323"/>
          <w:sz w:val="21"/>
          <w:szCs w:val="21"/>
        </w:rPr>
        <w:t xml:space="preserve">El desempeño del proyecto de construcción se mide en tres niveles complementarios: métricas de </w:t>
      </w:r>
      <w:r>
        <w:rPr>
          <w:rFonts w:ascii="Calibri" w:cs="Calibri" w:eastAsia="Calibri" w:hAnsi="Calibri"/>
          <w:b/>
          <w:bCs/>
          <w:color w:val="232323"/>
          <w:sz w:val="21"/>
          <w:szCs w:val="21"/>
        </w:rPr>
        <w:t xml:space="preserve">proceso</w:t>
      </w:r>
      <w:r>
        <w:rPr>
          <w:rFonts w:ascii="Calibri" w:cs="Calibri" w:eastAsia="Calibri" w:hAnsi="Calibri"/>
          <w:color w:val="232323"/>
          <w:sz w:val="21"/>
          <w:szCs w:val="21"/>
        </w:rPr>
        <w:t xml:space="preserve"> (qué tan predecible y saludable es la forma de trabajo del equipo), métricas de </w:t>
      </w:r>
      <w:r>
        <w:rPr>
          <w:rFonts w:ascii="Calibri" w:cs="Calibri" w:eastAsia="Calibri" w:hAnsi="Calibri"/>
          <w:b/>
          <w:bCs/>
          <w:color w:val="232323"/>
          <w:sz w:val="21"/>
          <w:szCs w:val="21"/>
        </w:rPr>
        <w:t xml:space="preserve">calidad</w:t>
      </w:r>
      <w:r>
        <w:rPr>
          <w:rFonts w:ascii="Calibri" w:cs="Calibri" w:eastAsia="Calibri" w:hAnsi="Calibri"/>
          <w:color w:val="232323"/>
          <w:sz w:val="21"/>
          <w:szCs w:val="21"/>
        </w:rPr>
        <w:t xml:space="preserve"> (qué tan confiable es lo que se construye) y métricas de </w:t>
      </w:r>
      <w:r>
        <w:rPr>
          <w:rFonts w:ascii="Calibri" w:cs="Calibri" w:eastAsia="Calibri" w:hAnsi="Calibri"/>
          <w:b/>
          <w:bCs/>
          <w:color w:val="232323"/>
          <w:sz w:val="21"/>
          <w:szCs w:val="21"/>
        </w:rPr>
        <w:t xml:space="preserve">producto</w:t>
      </w:r>
      <w:r>
        <w:rPr>
          <w:rFonts w:ascii="Calibri" w:cs="Calibri" w:eastAsia="Calibri" w:hAnsi="Calibri"/>
          <w:color w:val="232323"/>
          <w:sz w:val="21"/>
          <w:szCs w:val="21"/>
        </w:rPr>
        <w:t xml:space="preserve">, estas últimas conectadas directamente a los indicadores de seguimiento de negocio definidos en la sección 16.2 del Plan de Negocios.</w:t>
      </w:r>
    </w:p>
    <w:p>
      <w:pPr>
        <w:pStyle w:val="Heading2"/>
        <w:spacing w:after="160" w:before="340"/>
      </w:pPr>
      <w:r>
        <w:rPr>
          <w:rFonts w:ascii="Calibri" w:cs="Calibri" w:eastAsia="Calibri" w:hAnsi="Calibri"/>
          <w:b/>
          <w:bCs/>
          <w:color w:val="1F6F4A"/>
          <w:sz w:val="26"/>
          <w:szCs w:val="26"/>
        </w:rPr>
        <w:t xml:space="preserve">14.1 Métricas de Proceso</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2474"/>
        <w:gridCol w:w="4123"/>
        <w:gridCol w:w="2475"/>
      </w:tblGrid>
      <w:tr>
        <w:trPr>
          <w:cantSplit/>
          <w:tblHeader/>
        </w:trPr>
        <w:tc>
          <w:tcPr>
            <w:tcW w:type="dxa" w:w="2474"/>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Métrica</w:t>
            </w:r>
          </w:p>
        </w:tc>
        <w:tc>
          <w:tcPr>
            <w:tcW w:type="dxa" w:w="4123"/>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Definición</w:t>
            </w:r>
          </w:p>
        </w:tc>
        <w:tc>
          <w:tcPr>
            <w:tcW w:type="dxa" w:w="2475"/>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Meta referencial</w:t>
            </w:r>
          </w:p>
        </w:tc>
      </w:tr>
      <w:tr>
        <w:trPr>
          <w:cantSplit/>
        </w:trPr>
        <w:tc>
          <w:tcPr>
            <w:tcW w:type="dxa" w:w="247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Velocity</w:t>
            </w:r>
          </w:p>
        </w:tc>
        <w:tc>
          <w:tcPr>
            <w:tcW w:type="dxa" w:w="4123"/>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Promedio de story points completados por sprint, medido sobre los últimos 3 a 5 sprints</w:t>
            </w:r>
          </w:p>
        </w:tc>
        <w:tc>
          <w:tcPr>
            <w:tcW w:type="dxa" w:w="2475"/>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Estabilización de la varianza a partir del Sprint 4</w:t>
            </w:r>
          </w:p>
        </w:tc>
      </w:tr>
      <w:tr>
        <w:trPr>
          <w:cantSplit/>
        </w:trPr>
        <w:tc>
          <w:tcPr>
            <w:tcW w:type="dxa" w:w="247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Lead time</w:t>
            </w:r>
          </w:p>
        </w:tc>
        <w:tc>
          <w:tcPr>
            <w:tcW w:type="dxa" w:w="4123"/>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Tiempo transcurrido desde que una historia ingresa al Product Backlog hasta que se despliega en producción</w:t>
            </w:r>
          </w:p>
        </w:tc>
        <w:tc>
          <w:tcPr>
            <w:tcW w:type="dxa" w:w="2475"/>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Tendencia decreciente sprint a sprint</w:t>
            </w:r>
          </w:p>
        </w:tc>
      </w:tr>
      <w:tr>
        <w:trPr>
          <w:cantSplit/>
        </w:trPr>
        <w:tc>
          <w:tcPr>
            <w:tcW w:type="dxa" w:w="247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Cycle time</w:t>
            </w:r>
          </w:p>
        </w:tc>
        <w:tc>
          <w:tcPr>
            <w:tcW w:type="dxa" w:w="4123"/>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Tiempo transcurrido desde que una historia entra «En progreso» hasta que se marca «Terminada»</w:t>
            </w:r>
          </w:p>
        </w:tc>
        <w:tc>
          <w:tcPr>
            <w:tcW w:type="dxa" w:w="2475"/>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Menor a la duración de un sprint (10 días hábiles)</w:t>
            </w:r>
          </w:p>
        </w:tc>
      </w:tr>
      <w:tr>
        <w:trPr>
          <w:cantSplit/>
        </w:trPr>
        <w:tc>
          <w:tcPr>
            <w:tcW w:type="dxa" w:w="247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Cumplimiento del Sprint Goal</w:t>
            </w:r>
          </w:p>
        </w:tc>
        <w:tc>
          <w:tcPr>
            <w:tcW w:type="dxa" w:w="4123"/>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Porcentaje de sprints en los que se alcanza el objetivo definido en el Sprint Planning</w:t>
            </w:r>
          </w:p>
        </w:tc>
        <w:tc>
          <w:tcPr>
            <w:tcW w:type="dxa" w:w="2475"/>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 80 % de los sprints</w:t>
            </w:r>
          </w:p>
        </w:tc>
      </w:tr>
    </w:tbl>
    <w:p>
      <w:pPr>
        <w:spacing w:after="160"/>
      </w:pPr>
    </w:p>
    <w:p>
      <w:pPr>
        <w:pStyle w:val="Heading2"/>
        <w:spacing w:after="160" w:before="340"/>
      </w:pPr>
      <w:r>
        <w:rPr>
          <w:rFonts w:ascii="Calibri" w:cs="Calibri" w:eastAsia="Calibri" w:hAnsi="Calibri"/>
          <w:b/>
          <w:bCs/>
          <w:color w:val="1F6F4A"/>
          <w:sz w:val="26"/>
          <w:szCs w:val="26"/>
        </w:rPr>
        <w:t xml:space="preserve">14.2 Métricas de Calidad</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2474"/>
        <w:gridCol w:w="4123"/>
        <w:gridCol w:w="2475"/>
      </w:tblGrid>
      <w:tr>
        <w:trPr>
          <w:cantSplit/>
          <w:tblHeader/>
        </w:trPr>
        <w:tc>
          <w:tcPr>
            <w:tcW w:type="dxa" w:w="2474"/>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Métrica</w:t>
            </w:r>
          </w:p>
        </w:tc>
        <w:tc>
          <w:tcPr>
            <w:tcW w:type="dxa" w:w="4123"/>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Definición</w:t>
            </w:r>
          </w:p>
        </w:tc>
        <w:tc>
          <w:tcPr>
            <w:tcW w:type="dxa" w:w="2475"/>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Meta referencial</w:t>
            </w:r>
          </w:p>
        </w:tc>
      </w:tr>
      <w:tr>
        <w:trPr>
          <w:cantSplit/>
        </w:trPr>
        <w:tc>
          <w:tcPr>
            <w:tcW w:type="dxa" w:w="247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Cobertura de pruebas automatizadas</w:t>
            </w:r>
          </w:p>
        </w:tc>
        <w:tc>
          <w:tcPr>
            <w:tcW w:type="dxa" w:w="4123"/>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Porcentaje de líneas de código cubiertas por pruebas unitarias e integración</w:t>
            </w:r>
          </w:p>
        </w:tc>
        <w:tc>
          <w:tcPr>
            <w:tcW w:type="dxa" w:w="2475"/>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 80 % en los microservicios de Reservas y Pagos (sección 4.3.2)</w:t>
            </w:r>
          </w:p>
        </w:tc>
      </w:tr>
      <w:tr>
        <w:trPr>
          <w:cantSplit/>
        </w:trPr>
        <w:tc>
          <w:tcPr>
            <w:tcW w:type="dxa" w:w="247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Densidad de defectos</w:t>
            </w:r>
          </w:p>
        </w:tc>
        <w:tc>
          <w:tcPr>
            <w:tcW w:type="dxa" w:w="4123"/>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Número de defectos reportados por cada 100 story points entregados</w:t>
            </w:r>
          </w:p>
        </w:tc>
        <w:tc>
          <w:tcPr>
            <w:tcW w:type="dxa" w:w="2475"/>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Tendencia decreciente sprint a sprint</w:t>
            </w:r>
          </w:p>
        </w:tc>
      </w:tr>
      <w:tr>
        <w:trPr>
          <w:cantSplit/>
        </w:trPr>
        <w:tc>
          <w:tcPr>
            <w:tcW w:type="dxa" w:w="247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Tiempo medio de reparación (MTTR)</w:t>
            </w:r>
          </w:p>
        </w:tc>
        <w:tc>
          <w:tcPr>
            <w:tcW w:type="dxa" w:w="4123"/>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Tiempo promedio entre la detección de un incidente y su resolución</w:t>
            </w:r>
          </w:p>
        </w:tc>
        <w:tc>
          <w:tcPr>
            <w:tcW w:type="dxa" w:w="2475"/>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Alineado a los SLA de la sección 10.2 por severidad</w:t>
            </w:r>
          </w:p>
        </w:tc>
      </w:tr>
      <w:tr>
        <w:trPr>
          <w:cantSplit/>
        </w:trPr>
        <w:tc>
          <w:tcPr>
            <w:tcW w:type="dxa" w:w="247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Tasa de reversión de despliegues (rollback rate)</w:t>
            </w:r>
          </w:p>
        </w:tc>
        <w:tc>
          <w:tcPr>
            <w:tcW w:type="dxa" w:w="4123"/>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Porcentaje de despliegues a producción que requieren reversión</w:t>
            </w:r>
          </w:p>
        </w:tc>
        <w:tc>
          <w:tcPr>
            <w:tcW w:type="dxa" w:w="2475"/>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&lt; 5 % de los despliegues</w:t>
            </w:r>
          </w:p>
        </w:tc>
      </w:tr>
    </w:tbl>
    <w:p>
      <w:pPr>
        <w:spacing w:after="160"/>
      </w:pPr>
    </w:p>
    <w:p>
      <w:pPr>
        <w:pStyle w:val="Heading2"/>
        <w:spacing w:after="160" w:before="340"/>
      </w:pPr>
      <w:r>
        <w:rPr>
          <w:rFonts w:ascii="Calibri" w:cs="Calibri" w:eastAsia="Calibri" w:hAnsi="Calibri"/>
          <w:b/>
          <w:bCs/>
          <w:color w:val="1F6F4A"/>
          <w:sz w:val="26"/>
          <w:szCs w:val="26"/>
        </w:rPr>
        <w:t xml:space="preserve">14.3 Métricas de Producto Conectadas al Negocio</w:t>
      </w:r>
    </w:p>
    <w:p>
      <w:pPr>
        <w:spacing w:after="160" w:line="276"/>
        <w:jc w:val="left"/>
      </w:pPr>
      <w:r>
        <w:rPr>
          <w:rFonts w:ascii="Calibri" w:cs="Calibri" w:eastAsia="Calibri" w:hAnsi="Calibri"/>
          <w:color w:val="232323"/>
          <w:sz w:val="21"/>
          <w:szCs w:val="21"/>
        </w:rPr>
        <w:t xml:space="preserve">Estas métricas complementan, desde la perspectiva técnica, los indicadores de seguimiento ya definidos en la sección 16.2 del Plan de Negocios (centros activos, GMV, usuarios activos mensuales, CAC y LTV):</w:t>
      </w:r>
    </w:p>
    <w:p>
      <w:pPr>
        <w:pStyle w:val="ListParagraph"/>
        <w:numPr>
          <w:ilvl w:val="0"/>
          <w:numId w:val="2"/>
        </w:numPr>
        <w:spacing w:after="90" w:line="264"/>
      </w:pPr>
      <w:r>
        <w:rPr>
          <w:rFonts w:ascii="Calibri" w:cs="Calibri" w:eastAsia="Calibri" w:hAnsi="Calibri"/>
          <w:b/>
          <w:bCs/>
          <w:color w:val="232323"/>
          <w:sz w:val="21"/>
          <w:szCs w:val="21"/>
        </w:rPr>
        <w:t xml:space="preserve">Disponibilidad del sistema (uptime): </w:t>
      </w:r>
      <w:r>
        <w:rPr>
          <w:rFonts w:ascii="Calibri" w:cs="Calibri" w:eastAsia="Calibri" w:hAnsi="Calibri"/>
          <w:color w:val="232323"/>
          <w:sz w:val="21"/>
          <w:szCs w:val="21"/>
        </w:rPr>
        <w:t xml:space="preserve">objetivo de 99.5 % mensual, medido y reportado desde el panel de monitoreo (sección 10.5).</w:t>
      </w:r>
    </w:p>
    <w:p>
      <w:pPr>
        <w:pStyle w:val="ListParagraph"/>
        <w:numPr>
          <w:ilvl w:val="0"/>
          <w:numId w:val="2"/>
        </w:numPr>
        <w:spacing w:after="90" w:line="264"/>
      </w:pPr>
      <w:r>
        <w:rPr>
          <w:rFonts w:ascii="Calibri" w:cs="Calibri" w:eastAsia="Calibri" w:hAnsi="Calibri"/>
          <w:b/>
          <w:bCs/>
          <w:color w:val="232323"/>
          <w:sz w:val="21"/>
          <w:szCs w:val="21"/>
        </w:rPr>
        <w:t xml:space="preserve">Tiempo de finalización de una reserva (percentil 95): </w:t>
      </w:r>
      <w:r>
        <w:rPr>
          <w:rFonts w:ascii="Calibri" w:cs="Calibri" w:eastAsia="Calibri" w:hAnsi="Calibri"/>
          <w:color w:val="232323"/>
          <w:sz w:val="21"/>
          <w:szCs w:val="21"/>
        </w:rPr>
        <w:t xml:space="preserve">menor a dos minutos, verificando en producción el principio de diseño definido en la sección 5.5 del Plan de Negocios.</w:t>
      </w:r>
    </w:p>
    <w:p>
      <w:pPr>
        <w:pStyle w:val="ListParagraph"/>
        <w:numPr>
          <w:ilvl w:val="0"/>
          <w:numId w:val="2"/>
        </w:numPr>
        <w:spacing w:after="90" w:line="264"/>
      </w:pPr>
      <w:r>
        <w:rPr>
          <w:rFonts w:ascii="Calibri" w:cs="Calibri" w:eastAsia="Calibri" w:hAnsi="Calibri"/>
          <w:b/>
          <w:bCs/>
          <w:color w:val="232323"/>
          <w:sz w:val="21"/>
          <w:szCs w:val="21"/>
        </w:rPr>
        <w:t xml:space="preserve">Tasa de conversión búsqueda → reserva: </w:t>
      </w:r>
      <w:r>
        <w:rPr>
          <w:rFonts w:ascii="Calibri" w:cs="Calibri" w:eastAsia="Calibri" w:hAnsi="Calibri"/>
          <w:color w:val="232323"/>
          <w:sz w:val="21"/>
          <w:szCs w:val="21"/>
        </w:rPr>
        <w:t xml:space="preserve">proporción de sesiones de búsqueda que culminan en una reserva confirmada, indicador temprano de fricción en el flujo transaccional.</w:t>
      </w:r>
    </w:p>
    <w:p>
      <w:pPr>
        <w:pStyle w:val="ListParagraph"/>
        <w:numPr>
          <w:ilvl w:val="0"/>
          <w:numId w:val="2"/>
        </w:numPr>
        <w:spacing w:after="90" w:line="264"/>
      </w:pPr>
      <w:r>
        <w:rPr>
          <w:rFonts w:ascii="Calibri" w:cs="Calibri" w:eastAsia="Calibri" w:hAnsi="Calibri"/>
          <w:b/>
          <w:bCs/>
          <w:color w:val="232323"/>
          <w:sz w:val="21"/>
          <w:szCs w:val="21"/>
        </w:rPr>
        <w:t xml:space="preserve">Net Promoter Score (NPS): </w:t>
      </w:r>
      <w:r>
        <w:rPr>
          <w:rFonts w:ascii="Calibri" w:cs="Calibri" w:eastAsia="Calibri" w:hAnsi="Calibri"/>
          <w:color w:val="232323"/>
          <w:sz w:val="21"/>
          <w:szCs w:val="21"/>
        </w:rPr>
        <w:t xml:space="preserve">medido trimestralmente entre deportistas y administradores de centros deportivos, como proxy de satisfacción y probabilidad de referido.</w:t>
      </w:r>
    </w:p>
    <w:p>
      <w:pPr>
        <w:pStyle w:val="Heading1"/>
        <w:pageBreakBefore/>
        <w:pBdr>
          <w:bottom w:val="single" w:color="1F6F4A" w:sz="14" w:space="8"/>
        </w:pBdr>
        <w:spacing w:after="260" w:before="0"/>
      </w:pPr>
      <w:r>
        <w:rPr>
          <w:rFonts w:ascii="Calibri" w:cs="Calibri" w:eastAsia="Calibri" w:hAnsi="Calibri"/>
          <w:b/>
          <w:bCs/>
          <w:color w:val="173F32"/>
          <w:sz w:val="32"/>
          <w:szCs w:val="32"/>
        </w:rPr>
        <w:t xml:space="preserve">15. Gestión de la Comunicación con Interesados (Stakeholders)</w:t>
      </w:r>
    </w:p>
    <w:p>
      <w:pPr>
        <w:spacing w:after="160" w:line="276"/>
        <w:jc w:val="left"/>
      </w:pPr>
      <w:r>
        <w:rPr>
          <w:rFonts w:ascii="Calibri" w:cs="Calibri" w:eastAsia="Calibri" w:hAnsi="Calibri"/>
          <w:color w:val="232323"/>
          <w:sz w:val="21"/>
          <w:szCs w:val="21"/>
        </w:rPr>
        <w:t xml:space="preserve">Un plan de comunicación explícito evita que el equipo de desarrollo dedique tiempo desproporcionado a reportes ad-hoc, a la vez que garantiza que los representantes e inversionistas reciban visibilidad suficiente del avance técnico, en línea con la periodicidad de reporte comprometida en la sección 16.2 del Plan de Negocios.</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2268"/>
        <w:gridCol w:w="3780"/>
        <w:gridCol w:w="3024"/>
      </w:tblGrid>
      <w:tr>
        <w:trPr>
          <w:cantSplit/>
          <w:tblHeader/>
        </w:trPr>
        <w:tc>
          <w:tcPr>
            <w:tcW w:type="dxa" w:w="2268"/>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Interesado</w:t>
            </w:r>
          </w:p>
        </w:tc>
        <w:tc>
          <w:tcPr>
            <w:tcW w:type="dxa" w:w="3780"/>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Mecanismo</w:t>
            </w:r>
          </w:p>
        </w:tc>
        <w:tc>
          <w:tcPr>
            <w:tcW w:type="dxa" w:w="3024"/>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Frecuencia</w:t>
            </w:r>
          </w:p>
        </w:tc>
      </w:tr>
      <w:tr>
        <w:trPr>
          <w:cantSplit/>
        </w:trPr>
        <w:tc>
          <w:tcPr>
            <w:tcW w:type="dxa" w:w="2268"/>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Representantes e inversionistas</w:t>
            </w:r>
          </w:p>
        </w:tc>
        <w:tc>
          <w:tcPr>
            <w:tcW w:type="dxa" w:w="3780"/>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Reporte ejecutivo con avance de hitos, métricas de producto (sección 14.3) y riesgos abiertos</w:t>
            </w:r>
          </w:p>
        </w:tc>
        <w:tc>
          <w:tcPr>
            <w:tcW w:type="dxa" w:w="302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Mensual durante el primer año; trimestral en adelante (consistente con la sección 16.2 del Plan de Negocios)</w:t>
            </w:r>
          </w:p>
        </w:tc>
      </w:tr>
      <w:tr>
        <w:trPr>
          <w:cantSplit/>
        </w:trPr>
        <w:tc>
          <w:tcPr>
            <w:tcW w:type="dxa" w:w="2268"/>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Consejo asesor (sección 14.2 del Plan de Negocios)</w:t>
            </w:r>
          </w:p>
        </w:tc>
        <w:tc>
          <w:tcPr>
            <w:tcW w:type="dxa" w:w="3780"/>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Resumen de avance en hitos de fase y solicitud puntual de orientación técnica o de negocio</w:t>
            </w:r>
          </w:p>
        </w:tc>
        <w:tc>
          <w:tcPr>
            <w:tcW w:type="dxa" w:w="302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Al cierre de cada fase del alcance (secciones 6.1 a 6.5 del Plan de Negocios)</w:t>
            </w:r>
          </w:p>
        </w:tc>
      </w:tr>
      <w:tr>
        <w:trPr>
          <w:cantSplit/>
        </w:trPr>
        <w:tc>
          <w:tcPr>
            <w:tcW w:type="dxa" w:w="2268"/>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Centros deportivos y organizadores piloto</w:t>
            </w:r>
          </w:p>
        </w:tc>
        <w:tc>
          <w:tcPr>
            <w:tcW w:type="dxa" w:w="3780"/>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Canal directo de soporte (sección 9.5) y encuesta breve de satisfacción</w:t>
            </w:r>
          </w:p>
        </w:tc>
        <w:tc>
          <w:tcPr>
            <w:tcW w:type="dxa" w:w="3024"/>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Continua durante el onboarding; encuesta al cierre de cada release</w:t>
            </w:r>
          </w:p>
        </w:tc>
      </w:tr>
      <w:tr>
        <w:trPr>
          <w:cantSplit/>
        </w:trPr>
        <w:tc>
          <w:tcPr>
            <w:tcW w:type="dxa" w:w="2268"/>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Equipo interno del proyecto</w:t>
            </w:r>
          </w:p>
        </w:tc>
        <w:tc>
          <w:tcPr>
            <w:tcW w:type="dxa" w:w="3780"/>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Daily Scrum, Sprint Review y Sprint Retrospective (sección 3.4)</w:t>
            </w:r>
          </w:p>
        </w:tc>
        <w:tc>
          <w:tcPr>
            <w:tcW w:type="dxa" w:w="3024"/>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Diaria (Daily Scrum) y quincenal (Review/Retrospective), según la cadencia del sprint</w:t>
            </w:r>
          </w:p>
        </w:tc>
      </w:tr>
    </w:tbl>
    <w:p>
      <w:pPr>
        <w:spacing w:after="160"/>
      </w:pPr>
    </w:p>
    <w:p>
      <w:pPr>
        <w:pStyle w:val="Heading1"/>
        <w:pageBreakBefore/>
        <w:pBdr>
          <w:bottom w:val="single" w:color="1F6F4A" w:sz="14" w:space="8"/>
        </w:pBdr>
        <w:spacing w:after="260" w:before="0"/>
      </w:pPr>
      <w:r>
        <w:rPr>
          <w:rFonts w:ascii="Calibri" w:cs="Calibri" w:eastAsia="Calibri" w:hAnsi="Calibri"/>
          <w:b/>
          <w:bCs/>
          <w:color w:val="173F32"/>
          <w:sz w:val="32"/>
          <w:szCs w:val="32"/>
        </w:rPr>
        <w:t xml:space="preserve">16. Gobernanza y Gestión de Cambios de Alcance</w:t>
      </w:r>
    </w:p>
    <w:p>
      <w:pPr>
        <w:spacing w:after="160" w:line="276"/>
        <w:jc w:val="left"/>
      </w:pPr>
      <w:r>
        <w:rPr>
          <w:rFonts w:ascii="Calibri" w:cs="Calibri" w:eastAsia="Calibri" w:hAnsi="Calibri"/>
          <w:color w:val="232323"/>
          <w:sz w:val="21"/>
          <w:szCs w:val="21"/>
        </w:rPr>
        <w:t xml:space="preserve">Esta sección se distingue de la gestión de cambios en producción (sección 10.3): mientras aquella regula cómo se modifica el software ya desplegado, esta regula cómo se incorpora una nueva solicitud —proveniente de un representante, un centro deportivo piloto o el propio equipo— al alcance del proyecto </w:t>
      </w:r>
      <w:r>
        <w:rPr>
          <w:rFonts w:ascii="Calibri" w:cs="Calibri" w:eastAsia="Calibri" w:hAnsi="Calibri"/>
          <w:b/>
          <w:bCs/>
          <w:color w:val="232323"/>
          <w:sz w:val="21"/>
          <w:szCs w:val="21"/>
        </w:rPr>
        <w:t xml:space="preserve">durante</w:t>
      </w:r>
      <w:r>
        <w:rPr>
          <w:rFonts w:ascii="Calibri" w:cs="Calibri" w:eastAsia="Calibri" w:hAnsi="Calibri"/>
          <w:color w:val="232323"/>
          <w:sz w:val="21"/>
          <w:szCs w:val="21"/>
        </w:rPr>
        <w:t xml:space="preserve"> la construcción, sin comprometer la previsibilidad del trabajo en curso.</w:t>
      </w:r>
    </w:p>
    <w:p>
      <w:pPr>
        <w:pStyle w:val="Heading2"/>
        <w:spacing w:after="160" w:before="340"/>
      </w:pPr>
      <w:r>
        <w:rPr>
          <w:rFonts w:ascii="Calibri" w:cs="Calibri" w:eastAsia="Calibri" w:hAnsi="Calibri"/>
          <w:b/>
          <w:bCs/>
          <w:color w:val="1F6F4A"/>
          <w:sz w:val="26"/>
          <w:szCs w:val="26"/>
        </w:rPr>
        <w:t xml:space="preserve">16.1 Proceso de Solicitud de Cambio</w:t>
      </w:r>
    </w:p>
    <w:p>
      <w:pPr>
        <w:pStyle w:val="ListParagraph"/>
        <w:numPr>
          <w:ilvl w:val="0"/>
          <w:numId w:val="3"/>
        </w:numPr>
        <w:spacing w:after="90" w:line="264"/>
      </w:pPr>
      <w:r>
        <w:rPr>
          <w:rFonts w:ascii="Calibri" w:cs="Calibri" w:eastAsia="Calibri" w:hAnsi="Calibri"/>
          <w:color w:val="232323"/>
          <w:sz w:val="21"/>
          <w:szCs w:val="21"/>
        </w:rPr>
        <w:t xml:space="preserve">Cualquier interesado puede levantar una solicitud de cambio (nueva funcionalidad, modificación de una ya priorizada, o eliminación de alcance) dirigida al Product Owner.</w:t>
      </w:r>
    </w:p>
    <w:p>
      <w:pPr>
        <w:pStyle w:val="ListParagraph"/>
        <w:numPr>
          <w:ilvl w:val="0"/>
          <w:numId w:val="3"/>
        </w:numPr>
        <w:spacing w:after="90" w:line="264"/>
      </w:pPr>
      <w:r>
        <w:rPr>
          <w:rFonts w:ascii="Calibri" w:cs="Calibri" w:eastAsia="Calibri" w:hAnsi="Calibri"/>
          <w:color w:val="232323"/>
          <w:sz w:val="21"/>
          <w:szCs w:val="21"/>
        </w:rPr>
        <w:t xml:space="preserve">El Product Owner evalúa la solicitud junto al Scrum Master, considerando impacto en el cronograma, alineación con el objetivo de producto vigente y esfuerzo estimado de forma preliminar por el equipo de desarrollo.</w:t>
      </w:r>
    </w:p>
    <w:p>
      <w:pPr>
        <w:pStyle w:val="ListParagraph"/>
        <w:numPr>
          <w:ilvl w:val="0"/>
          <w:numId w:val="3"/>
        </w:numPr>
        <w:spacing w:after="90" w:line="264"/>
      </w:pPr>
      <w:r>
        <w:rPr>
          <w:rFonts w:ascii="Calibri" w:cs="Calibri" w:eastAsia="Calibri" w:hAnsi="Calibri"/>
          <w:color w:val="232323"/>
          <w:sz w:val="21"/>
          <w:szCs w:val="21"/>
        </w:rPr>
        <w:t xml:space="preserve">La solicitud aprobada se convierte en uno o más elementos del Product Backlog, priorizados según los criterios de la sección 4.5, sin garantía de fecha de entrega hasta que sea efectivamente seleccionada en un Sprint Planning.</w:t>
      </w:r>
    </w:p>
    <w:p>
      <w:pPr>
        <w:pStyle w:val="ListParagraph"/>
        <w:numPr>
          <w:ilvl w:val="0"/>
          <w:numId w:val="3"/>
        </w:numPr>
        <w:spacing w:after="90" w:line="264"/>
      </w:pPr>
      <w:r>
        <w:rPr>
          <w:rFonts w:ascii="Calibri" w:cs="Calibri" w:eastAsia="Calibri" w:hAnsi="Calibri"/>
          <w:color w:val="232323"/>
          <w:sz w:val="21"/>
          <w:szCs w:val="21"/>
        </w:rPr>
        <w:t xml:space="preserve">Las solicitudes no aprobadas se documentan con su justificación de rechazo o diferimiento, evitando que se repropongan sin nueva información que amerite revisitarlas.</w:t>
      </w:r>
    </w:p>
    <w:p>
      <w:pPr>
        <w:pStyle w:val="Heading2"/>
        <w:spacing w:after="160" w:before="340"/>
      </w:pPr>
      <w:r>
        <w:rPr>
          <w:rFonts w:ascii="Calibri" w:cs="Calibri" w:eastAsia="Calibri" w:hAnsi="Calibri"/>
          <w:b/>
          <w:bCs/>
          <w:color w:val="1F6F4A"/>
          <w:sz w:val="26"/>
          <w:szCs w:val="26"/>
        </w:rPr>
        <w:t xml:space="preserve">16.2 Principio de Protección del Sprint en Curso</w:t>
      </w:r>
    </w:p>
    <w:p>
      <w:pPr>
        <w:spacing w:after="160" w:line="276"/>
        <w:jc w:val="left"/>
      </w:pPr>
      <w:r>
        <w:rPr>
          <w:rFonts w:ascii="Calibri" w:cs="Calibri" w:eastAsia="Calibri" w:hAnsi="Calibri"/>
          <w:color w:val="232323"/>
          <w:sz w:val="21"/>
          <w:szCs w:val="21"/>
        </w:rPr>
        <w:t xml:space="preserve">Un principio no negociable de Scrum, y por tanto de este proyecto, es que </w:t>
      </w:r>
      <w:r>
        <w:rPr>
          <w:rFonts w:ascii="Calibri" w:cs="Calibri" w:eastAsia="Calibri" w:hAnsi="Calibri"/>
          <w:b/>
          <w:bCs/>
          <w:color w:val="232323"/>
          <w:sz w:val="21"/>
          <w:szCs w:val="21"/>
        </w:rPr>
        <w:t xml:space="preserve">el alcance de un sprint ya iniciado no se modifica</w:t>
      </w:r>
      <w:r>
        <w:rPr>
          <w:rFonts w:ascii="Calibri" w:cs="Calibri" w:eastAsia="Calibri" w:hAnsi="Calibri"/>
          <w:color w:val="232323"/>
          <w:sz w:val="21"/>
          <w:szCs w:val="21"/>
        </w:rPr>
        <w:t xml:space="preserve">, salvo que el equipo de desarrollo y el Product Owner acuerden explícitamente cancelarlo por completo (situación excepcional). Toda solicitud nueva, por urgente que parezca a quien la formula, ingresa al Product Backlog para ser evaluada en el siguiente Sprint Planning. La única excepción reconocida es un incidente de producción de severidad crítica o alta, que se gestiona por el protocolo de hotfix descrito en la sección 10.4.1 y no por una modificación del Sprint Backlog vigente.</w:t>
      </w:r>
    </w:p>
    <w:p>
      <w:pPr>
        <w:spacing w:after="220" w:before="60"/>
        <w:ind w:left="200"/>
      </w:pPr>
      <w:r>
        <w:rPr>
          <w:rFonts w:ascii="Calibri" w:cs="Calibri" w:eastAsia="Calibri" w:hAnsi="Calibri"/>
          <w:i/>
          <w:iCs/>
          <w:color w:val="5B5B5B"/>
          <w:sz w:val="19"/>
          <w:szCs w:val="19"/>
        </w:rPr>
        <w:t xml:space="preserve">Esta protección es la que permite al equipo comprometerse de forma creíble con un Sprint Goal, y es responsabilidad explícita del Scrum Master (sección 3.3.2) hacerla respetar frente a presiones comerciales.</w:t>
      </w:r>
    </w:p>
    <w:p>
      <w:pPr>
        <w:pStyle w:val="Heading1"/>
        <w:pageBreakBefore/>
        <w:pBdr>
          <w:bottom w:val="single" w:color="1F6F4A" w:sz="14" w:space="8"/>
        </w:pBdr>
        <w:spacing w:after="260" w:before="0"/>
      </w:pPr>
      <w:r>
        <w:rPr>
          <w:rFonts w:ascii="Calibri" w:cs="Calibri" w:eastAsia="Calibri" w:hAnsi="Calibri"/>
          <w:b/>
          <w:bCs/>
          <w:color w:val="173F32"/>
          <w:sz w:val="32"/>
          <w:szCs w:val="32"/>
        </w:rPr>
        <w:t xml:space="preserve">17. Conclusiones</w:t>
      </w:r>
    </w:p>
    <w:p>
      <w:pPr>
        <w:spacing w:after="160" w:line="276"/>
        <w:jc w:val="both"/>
      </w:pPr>
      <w:r>
        <w:rPr>
          <w:rFonts w:ascii="Calibri" w:cs="Calibri" w:eastAsia="Calibri" w:hAnsi="Calibri"/>
          <w:color w:val="232323"/>
          <w:sz w:val="21"/>
          <w:szCs w:val="21"/>
        </w:rPr>
        <w:t xml:space="preserve">Este Plan de Proyecto traduce la oportunidad de negocio validada en el Plan de Negocios KanchaYA en una hoja de ruta técnica ejecutable, organizada bajo el marco de trabajo Scrum, que cubre de manera explícita la totalidad del ciclo de vida de construcción del software: desde la ingeniería de requerimientos y el diseño de la solución, pasando por la preparación del entorno y el desarrollo iterativo en sprints, hasta el despliegue, la operación y la gestión disciplinada de cambios y parches una vez el sistema esté sirviendo a deportistas y centros deportivos reales en el Cusco.</w:t>
      </w:r>
    </w:p>
    <w:p>
      <w:pPr>
        <w:spacing w:after="160" w:line="276"/>
        <w:jc w:val="both"/>
      </w:pPr>
      <w:r>
        <w:rPr>
          <w:rFonts w:ascii="Calibri" w:cs="Calibri" w:eastAsia="Calibri" w:hAnsi="Calibri"/>
          <w:color w:val="232323"/>
          <w:sz w:val="21"/>
          <w:szCs w:val="21"/>
        </w:rPr>
        <w:t xml:space="preserve">La elección de Scrum no es una preferencia estilística, sino una respuesta directa a las condiciones propias de este proyecto: un mercado con alta incertidumbre de adopción, un equipo reducido que necesita autonomía y foco, y una ventana competitiva —descrita en la sección 4.4 del Plan de Negocios— que premia la velocidad de validación por encima de la planificación exhaustiva previa. Cada uno de los siete fases descritas en este documento incorpora mecanismos concretos de retroalimentación temprana: prototipos validados antes de escribir código, incrementos demostrables cada dos semanas, pruebas automatizadas integradas al propio ciclo de desarrollo, y un protocolo de parches capaz de responder en horas ante un incidente crítico.</w:t>
      </w:r>
    </w:p>
    <w:p>
      <w:pPr>
        <w:spacing w:after="160" w:line="276"/>
        <w:jc w:val="both"/>
      </w:pPr>
      <w:r>
        <w:rPr>
          <w:rFonts w:ascii="Calibri" w:cs="Calibri" w:eastAsia="Calibri" w:hAnsi="Calibri"/>
          <w:color w:val="232323"/>
          <w:sz w:val="21"/>
          <w:szCs w:val="21"/>
        </w:rPr>
        <w:t xml:space="preserve">Con esta base metodológica, el equipo fundador cuenta con lo necesario para iniciar el Sprint 0 sin ambigüedad respecto a herramientas, roles ni estándares de calidad, y con un lenguaje común —el de Scrum y la ingeniería de software moderna— para reportar avances a los representantes e inversionistas con la misma transparencia y rigor con que el Plan de Negocios presentó la oportunidad comercial que da origen a este proyecto.</w:t>
      </w:r>
    </w:p>
    <w:p>
      <w:pPr>
        <w:spacing w:after="220" w:before="60"/>
        <w:ind w:left="200"/>
      </w:pPr>
      <w:r>
        <w:rPr>
          <w:rFonts w:ascii="Calibri" w:cs="Calibri" w:eastAsia="Calibri" w:hAnsi="Calibri"/>
          <w:i/>
          <w:iCs/>
          <w:color w:val="5B5B5B"/>
          <w:sz w:val="19"/>
          <w:szCs w:val="19"/>
        </w:rPr>
        <w:t xml:space="preserve">Como corresponde a un plan de proyecto ágil, este documento debe entenderse como una fotografía inicial: la sección 3.6 y la sección 16 establecen los mecanismos formales mediante los cuales debe actualizarse conforme el equipo aprenda, sin perder la disciplina de registro y trazabilidad que un proyecto de esta envergadura requiere.</w:t>
      </w:r>
    </w:p>
    <w:p>
      <w:pPr>
        <w:pStyle w:val="Heading1"/>
        <w:pageBreakBefore/>
        <w:pBdr>
          <w:bottom w:val="single" w:color="1F6F4A" w:sz="14" w:space="8"/>
        </w:pBdr>
        <w:spacing w:after="260" w:before="0"/>
      </w:pPr>
      <w:r>
        <w:rPr>
          <w:rFonts w:ascii="Calibri" w:cs="Calibri" w:eastAsia="Calibri" w:hAnsi="Calibri"/>
          <w:b/>
          <w:bCs/>
          <w:color w:val="173F32"/>
          <w:sz w:val="32"/>
          <w:szCs w:val="32"/>
        </w:rPr>
        <w:t xml:space="preserve">18. Referencias</w:t>
      </w:r>
    </w:p>
    <w:p>
      <w:pPr>
        <w:spacing w:after="160" w:line="276"/>
        <w:jc w:val="left"/>
      </w:pPr>
      <w:r>
        <w:rPr>
          <w:rFonts w:ascii="Calibri" w:cs="Calibri" w:eastAsia="Calibri" w:hAnsi="Calibri"/>
          <w:color w:val="232323"/>
          <w:sz w:val="21"/>
          <w:szCs w:val="21"/>
        </w:rPr>
        <w:t xml:space="preserve">Las siguientes fuentes fueron consultadas para la elaboración de la metodología y las prácticas de ingeniería descritas en este documento, y se citan en formato APA, 7.ª edición. Para las referencias relativas al mercado, la arquitectura general y el marco legal, véase la sección 18 del Plan de Negocios KanchaYA.</w:t>
      </w:r>
    </w:p>
    <w:p>
      <w:pPr>
        <w:spacing w:after="200" w:line="264"/>
        <w:ind w:left="400" w:hanging="400"/>
      </w:pPr>
      <w:r>
        <w:rPr>
          <w:rFonts w:ascii="Calibri" w:cs="Calibri" w:eastAsia="Calibri" w:hAnsi="Calibri"/>
          <w:color w:val="232323"/>
          <w:sz w:val="20"/>
          <w:szCs w:val="20"/>
        </w:rPr>
        <w:t xml:space="preserve">Beck, K., et al. (2001). Manifesto for Agile Software Development. https://agilemanifesto.org/</w:t>
      </w:r>
    </w:p>
    <w:p>
      <w:pPr>
        <w:spacing w:after="200" w:line="264"/>
        <w:ind w:left="400" w:hanging="400"/>
      </w:pPr>
      <w:r>
        <w:rPr>
          <w:rFonts w:ascii="Calibri" w:cs="Calibri" w:eastAsia="Calibri" w:hAnsi="Calibri"/>
          <w:color w:val="232323"/>
          <w:sz w:val="20"/>
          <w:szCs w:val="20"/>
        </w:rPr>
        <w:t xml:space="preserve">Fowler, M. (2010). BlueGreenDeployment. martinFowler.com. https://martinfowler.com/bliki/BlueGreenDeployment.html</w:t>
      </w:r>
    </w:p>
    <w:p>
      <w:pPr>
        <w:spacing w:after="200" w:line="264"/>
        <w:ind w:left="400" w:hanging="400"/>
      </w:pPr>
      <w:r>
        <w:rPr>
          <w:rFonts w:ascii="Calibri" w:cs="Calibri" w:eastAsia="Calibri" w:hAnsi="Calibri"/>
          <w:color w:val="232323"/>
          <w:sz w:val="20"/>
          <w:szCs w:val="20"/>
        </w:rPr>
        <w:t xml:space="preserve">KanchaYA S.A.C. (2026). Plan de Negocios — KanchaYA: plataforma SaaS de reserva de canchas deportivas y gestión de campeonatos [documento interno, versión 1.0]. Cusco, Perú.</w:t>
      </w:r>
    </w:p>
    <w:p>
      <w:pPr>
        <w:spacing w:after="200" w:line="264"/>
        <w:ind w:left="400" w:hanging="400"/>
      </w:pPr>
      <w:r>
        <w:rPr>
          <w:rFonts w:ascii="Calibri" w:cs="Calibri" w:eastAsia="Calibri" w:hAnsi="Calibri"/>
          <w:color w:val="232323"/>
          <w:sz w:val="20"/>
          <w:szCs w:val="20"/>
        </w:rPr>
        <w:t xml:space="preserve">Nielsen, J. (2000, 19 de marzo). Why You Only Need to Test with 5 Users. Nielsen Norman Group. https://www.nngroup.com/articles/why-you-only-need-to-test-with-5-users/</w:t>
      </w:r>
    </w:p>
    <w:p>
      <w:pPr>
        <w:spacing w:after="200" w:line="264"/>
        <w:ind w:left="400" w:hanging="400"/>
      </w:pPr>
      <w:r>
        <w:rPr>
          <w:rFonts w:ascii="Calibri" w:cs="Calibri" w:eastAsia="Calibri" w:hAnsi="Calibri"/>
          <w:color w:val="232323"/>
          <w:sz w:val="20"/>
          <w:szCs w:val="20"/>
        </w:rPr>
        <w:t xml:space="preserve">Open Web Application Security Project [OWASP]. (2021). OWASP Top 10: The Ten Most Critical Web Application Security Risks. https://owasp.org/www-project-top-ten/</w:t>
      </w:r>
    </w:p>
    <w:p>
      <w:pPr>
        <w:spacing w:after="200" w:line="264"/>
        <w:ind w:left="400" w:hanging="400"/>
      </w:pPr>
      <w:r>
        <w:rPr>
          <w:rFonts w:ascii="Calibri" w:cs="Calibri" w:eastAsia="Calibri" w:hAnsi="Calibri"/>
          <w:color w:val="232323"/>
          <w:sz w:val="20"/>
          <w:szCs w:val="20"/>
        </w:rPr>
        <w:t xml:space="preserve">Preston-Werner, T. (2013). Semantic Versioning 2.0.0. https://semver.org/</w:t>
      </w:r>
    </w:p>
    <w:p>
      <w:pPr>
        <w:spacing w:after="200" w:line="264"/>
        <w:ind w:left="400" w:hanging="400"/>
      </w:pPr>
      <w:r>
        <w:rPr>
          <w:rFonts w:ascii="Calibri" w:cs="Calibri" w:eastAsia="Calibri" w:hAnsi="Calibri"/>
          <w:color w:val="232323"/>
          <w:sz w:val="20"/>
          <w:szCs w:val="20"/>
        </w:rPr>
        <w:t xml:space="preserve">Schwaber, K., &amp; Sutherland, J. (2020). La Guía de Scrum: La Guía Definitiva de Scrum — Las Reglas del Juego. Scrum.org. https://scrumguides.org/</w:t>
      </w:r>
    </w:p>
    <w:p>
      <w:pPr>
        <w:spacing w:after="200" w:line="264"/>
        <w:ind w:left="400" w:hanging="400"/>
      </w:pPr>
      <w:r>
        <w:rPr>
          <w:rFonts w:ascii="Calibri" w:cs="Calibri" w:eastAsia="Calibri" w:hAnsi="Calibri"/>
          <w:color w:val="232323"/>
          <w:sz w:val="20"/>
          <w:szCs w:val="20"/>
        </w:rPr>
        <w:t xml:space="preserve">World Wide Web Consortium [W3C]. (2018). Web Content Accessibility Guidelines (WCAG) 2.1. https://www.w3.org/TR/WCAG21/</w:t>
      </w:r>
    </w:p>
    <w:p>
      <w:pPr>
        <w:pStyle w:val="Heading1"/>
        <w:pageBreakBefore/>
        <w:pBdr>
          <w:bottom w:val="single" w:color="1F6F4A" w:sz="14" w:space="8"/>
        </w:pBdr>
        <w:spacing w:after="260" w:before="0"/>
      </w:pPr>
      <w:r>
        <w:rPr>
          <w:rFonts w:ascii="Calibri" w:cs="Calibri" w:eastAsia="Calibri" w:hAnsi="Calibri"/>
          <w:b/>
          <w:bCs/>
          <w:color w:val="173F32"/>
          <w:sz w:val="32"/>
          <w:szCs w:val="32"/>
        </w:rPr>
        <w:t xml:space="preserve">Anexo A. Glosario de Términos Ágiles y Técnicos</w:t>
      </w:r>
    </w:p>
    <w:p>
      <w:pPr>
        <w:spacing w:after="160" w:line="276"/>
        <w:jc w:val="left"/>
      </w:pPr>
      <w:r>
        <w:rPr>
          <w:rFonts w:ascii="Calibri" w:cs="Calibri" w:eastAsia="Calibri" w:hAnsi="Calibri"/>
          <w:color w:val="232323"/>
          <w:sz w:val="21"/>
          <w:szCs w:val="21"/>
        </w:rPr>
        <w:t xml:space="preserve">Glosario de referencia rápida para representantes y nuevos integrantes del equipo no necesariamente familiarizados con la terminología ágil y técnica empleada a lo largo de este documento.</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2721"/>
        <w:gridCol w:w="6351"/>
      </w:tblGrid>
      <w:tr>
        <w:trPr>
          <w:cantSplit/>
          <w:tblHeader/>
        </w:trPr>
        <w:tc>
          <w:tcPr>
            <w:tcW w:type="dxa" w:w="2721"/>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Término</w:t>
            </w:r>
          </w:p>
        </w:tc>
        <w:tc>
          <w:tcPr>
            <w:tcW w:type="dxa" w:w="6351"/>
            <w:shd w:fill="1F6F4A" w:val="clear"/>
            <w:tcMar>
              <w:top w:type="dxa" w:w="90"/>
              <w:left w:type="dxa" w:w="110"/>
              <w:bottom w:type="dxa" w:w="90"/>
              <w:right w:type="dxa" w:w="110"/>
            </w:tcMar>
            <w:vAlign w:val="center"/>
          </w:tcPr>
          <w:p>
            <w:r>
              <w:rPr>
                <w:rFonts w:ascii="Calibri" w:cs="Calibri" w:eastAsia="Calibri" w:hAnsi="Calibri"/>
                <w:b/>
                <w:bCs/>
                <w:color w:val="FFFFFF"/>
                <w:sz w:val="19"/>
                <w:szCs w:val="19"/>
              </w:rPr>
              <w:t xml:space="preserve">Definición</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Backlog (Product Backlog)</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Lista ordenada y evolutiva de todo el trabajo conocido pendiente para el producto</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Épica</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Conjunto amplio de funcionalidad relacionada, demasiado grande para un solo sprint, que se descompone en historias de usuario</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Historia de usuario</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Unidad de trabajo pequeña, redactada desde la perspectiva del usuario, con criterios de aceptación verificables</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Story points</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Unidad relativa de estimación de esfuerzo, generalmente en escala de Fibonacci (1, 2, 3, 5, 8, 13...)</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Sprint</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Ciclo de trabajo de duración fija (en este proyecto, dos semanas) que culmina en un incremento de producto</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Sprint Goal</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Objetivo único y coherente que el equipo se compromete a alcanzar durante un sprint</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Incremento</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Suma de trabajo terminado durante el sprint, potencialmente desplegable a producción</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Definition of Ready (DoR)</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Criterios que una historia de usuario debe cumplir antes de poder ingresar a un sprint</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Definition of Done (DoD)</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Criterios que determinan cuándo un elemento del backlog se considera verdaderamente terminado</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Velocity</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Promedio de story points completados por sprint, usado para proyectar entregas futuras</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Burndown chart</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Gráfico que compara el trabajo restante contra el tiempo transcurrido del sprint</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MVP (Producto Mínimo Viable)</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Versión más pequeña del producto que permite validar la hipótesis de negocio con usuarios reales</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CI/CD</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Integración continua y despliegue/entrega continua: automatización de la construcción, prueba y liberación de software</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API</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Interfaz de Programación de Aplicaciones: contrato mediante el cual dos sistemas de software intercambian información</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Microservicio</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Componente de software pequeño, autónomo y con una responsabilidad de negocio acotada, desplegable de forma independiente</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SLA / SLO</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Acuerdo / objetivo de nivel de servicio: compromiso medible sobre disponibilidad, rendimiento o tiempo de respuesta</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MTTR</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Tiempo medio de reparación: duración promedio entre la detección de un incidente y su resolución</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Deuda técnica</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Costo futuro implícito de una solución técnica rápida adoptada en el presente en lugar de la solución óptima</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Feature flag</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Interruptor que permite activar o desactivar una funcionalidad en producción sin un nuevo despliegue de código</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Blue-Green Deployment</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Estrategia de despliegue que mantiene dos entornos productivos en paralelo para reducir el riesgo de liberación</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Canary Release</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Liberación gradual de un cambio a un subconjunto reducido de usuarios antes de expandirlo al total</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TDD (Test-Driven Development)</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Práctica de escribir la prueba automatizada antes que el código que la satisface</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SemVer (Versionamiento Semántico)</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Convención de numeración de versiones en formato MAYOR.MENOR.PARCHE</w:t>
            </w:r>
          </w:p>
        </w:tc>
      </w:tr>
      <w:tr>
        <w:trPr>
          <w:cantSplit/>
        </w:trPr>
        <w:tc>
          <w:tcPr>
            <w:tcW w:type="dxa" w:w="272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Hotfix</w:t>
            </w:r>
          </w:p>
        </w:tc>
        <w:tc>
          <w:tcPr>
            <w:tcW w:type="dxa" w:w="6351"/>
            <w:shd w:fill="F1F5F3"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Parche correctivo urgente aplicado fuera del ciclo regular de sprint ante un defecto crítico en producción</w:t>
            </w:r>
          </w:p>
        </w:tc>
      </w:tr>
      <w:tr>
        <w:trPr>
          <w:cantSplit/>
        </w:trPr>
        <w:tc>
          <w:tcPr>
            <w:tcW w:type="dxa" w:w="272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RACI</w:t>
            </w:r>
          </w:p>
        </w:tc>
        <w:tc>
          <w:tcPr>
            <w:tcW w:type="dxa" w:w="6351"/>
            <w:shd w:fill="FFFFFF" w:val="clear"/>
            <w:tcMar>
              <w:top w:type="dxa" w:w="80"/>
              <w:left w:type="dxa" w:w="110"/>
              <w:bottom w:type="dxa" w:w="80"/>
              <w:right w:type="dxa" w:w="110"/>
            </w:tcMar>
            <w:vAlign w:val="center"/>
          </w:tcPr>
          <w:p>
            <w:pPr>
              <w:spacing w:line="250"/>
            </w:pPr>
            <w:r>
              <w:rPr>
                <w:rFonts w:ascii="Calibri" w:cs="Calibri" w:eastAsia="Calibri" w:hAnsi="Calibri"/>
                <w:color w:val="232323"/>
                <w:sz w:val="19"/>
                <w:szCs w:val="19"/>
              </w:rPr>
              <w:t xml:space="preserve">Matriz que clasifica la participación de cada rol en una actividad como Responsable, Aprueba, Consultado o Informado</w:t>
            </w:r>
          </w:p>
        </w:tc>
      </w:tr>
    </w:tbl>
    <w:p>
      <w:pPr>
        <w:spacing w:after="160"/>
      </w:pPr>
    </w:p>
    <w:p>
      <w:pPr>
        <w:pStyle w:val="Heading1"/>
        <w:pageBreakBefore/>
        <w:pBdr>
          <w:bottom w:val="single" w:color="1F6F4A" w:sz="14" w:space="8"/>
        </w:pBdr>
        <w:spacing w:after="260" w:before="0"/>
      </w:pPr>
      <w:r>
        <w:rPr>
          <w:rFonts w:ascii="Calibri" w:cs="Calibri" w:eastAsia="Calibri" w:hAnsi="Calibri"/>
          <w:b/>
          <w:bCs/>
          <w:color w:val="173F32"/>
          <w:sz w:val="32"/>
          <w:szCs w:val="32"/>
        </w:rPr>
        <w:t xml:space="preserve">Anexo B. Plantilla de Historia de Usuario</w:t>
      </w:r>
    </w:p>
    <w:p>
      <w:pPr>
        <w:spacing w:after="160" w:line="276"/>
        <w:jc w:val="left"/>
      </w:pPr>
      <w:r>
        <w:rPr>
          <w:rFonts w:ascii="Calibri" w:cs="Calibri" w:eastAsia="Calibri" w:hAnsi="Calibri"/>
          <w:color w:val="232323"/>
          <w:sz w:val="21"/>
          <w:szCs w:val="21"/>
        </w:rPr>
        <w:t xml:space="preserve">Plantilla estándar a utilizar en la herramienta de gestión ágil (sección 3.7) para registrar cada nueva historia de usuario, garantizando que toda la información necesaria para su estimación y desarrollo quede documentada de forma consistente.</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2721"/>
        <w:gridCol w:w="6351"/>
      </w:tblGrid>
      <w:tr>
        <w:trPr>
          <w:cantSplit/>
        </w:trPr>
        <w:tc>
          <w:tcPr>
            <w:tcW w:type="dxa" w:w="2721"/>
            <w:shd w:fill="FFFFFF"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ID</w:t>
            </w:r>
          </w:p>
        </w:tc>
        <w:tc>
          <w:tcPr>
            <w:tcW w:type="dxa" w:w="6351"/>
            <w:shd w:fill="FFFFFF"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Correlativo único (por ejemplo, HU-33)</w:t>
            </w:r>
          </w:p>
        </w:tc>
      </w:tr>
      <w:tr>
        <w:trPr>
          <w:cantSplit/>
        </w:trPr>
        <w:tc>
          <w:tcPr>
            <w:tcW w:type="dxa" w:w="2721"/>
            <w:shd w:fill="F1F5F3"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Épica</w:t>
            </w:r>
          </w:p>
        </w:tc>
        <w:tc>
          <w:tcPr>
            <w:tcW w:type="dxa" w:w="6351"/>
            <w:shd w:fill="F1F5F3"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Épica a la que pertenece (E1 a E8, sección 4.4.1, o nuevas épicas incorporadas vía la sección 16)</w:t>
            </w:r>
          </w:p>
        </w:tc>
      </w:tr>
      <w:tr>
        <w:trPr>
          <w:cantSplit/>
        </w:trPr>
        <w:tc>
          <w:tcPr>
            <w:tcW w:type="dxa" w:w="2721"/>
            <w:shd w:fill="FFFFFF"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Título</w:t>
            </w:r>
          </w:p>
        </w:tc>
        <w:tc>
          <w:tcPr>
            <w:tcW w:type="dxa" w:w="6351"/>
            <w:shd w:fill="FFFFFF"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Resumen breve de la funcionalidad, en no más de 8 palabras</w:t>
            </w:r>
          </w:p>
        </w:tc>
      </w:tr>
      <w:tr>
        <w:trPr>
          <w:cantSplit/>
        </w:trPr>
        <w:tc>
          <w:tcPr>
            <w:tcW w:type="dxa" w:w="2721"/>
            <w:shd w:fill="F1F5F3"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Narrativa</w:t>
            </w:r>
          </w:p>
        </w:tc>
        <w:tc>
          <w:tcPr>
            <w:tcW w:type="dxa" w:w="6351"/>
            <w:shd w:fill="F1F5F3"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«Como [rol], quiero [acción], para [beneficio]», siguiendo el formato de la sección 4.4</w:t>
            </w:r>
          </w:p>
        </w:tc>
      </w:tr>
      <w:tr>
        <w:trPr>
          <w:cantSplit/>
        </w:trPr>
        <w:tc>
          <w:tcPr>
            <w:tcW w:type="dxa" w:w="2721"/>
            <w:shd w:fill="FFFFFF"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Criterios de aceptación</w:t>
            </w:r>
          </w:p>
        </w:tc>
        <w:tc>
          <w:tcPr>
            <w:tcW w:type="dxa" w:w="6351"/>
            <w:shd w:fill="FFFFFF"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Uno o más escenarios en notación Gherkin: Dado / Cuando / Entonces</w:t>
            </w:r>
          </w:p>
        </w:tc>
      </w:tr>
      <w:tr>
        <w:trPr>
          <w:cantSplit/>
        </w:trPr>
        <w:tc>
          <w:tcPr>
            <w:tcW w:type="dxa" w:w="2721"/>
            <w:shd w:fill="F1F5F3"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Story points</w:t>
            </w:r>
          </w:p>
        </w:tc>
        <w:tc>
          <w:tcPr>
            <w:tcW w:type="dxa" w:w="6351"/>
            <w:shd w:fill="F1F5F3"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Estimación del equipo de desarrollo en escala de Fibonacci modificada</w:t>
            </w:r>
          </w:p>
        </w:tc>
      </w:tr>
      <w:tr>
        <w:trPr>
          <w:cantSplit/>
        </w:trPr>
        <w:tc>
          <w:tcPr>
            <w:tcW w:type="dxa" w:w="2721"/>
            <w:shd w:fill="FFFFFF"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Prioridad MoSCoW</w:t>
            </w:r>
          </w:p>
        </w:tc>
        <w:tc>
          <w:tcPr>
            <w:tcW w:type="dxa" w:w="6351"/>
            <w:shd w:fill="FFFFFF"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Must / Should / Could / Won't have this time (sección 4.5.1)</w:t>
            </w:r>
          </w:p>
        </w:tc>
      </w:tr>
      <w:tr>
        <w:trPr>
          <w:cantSplit/>
        </w:trPr>
        <w:tc>
          <w:tcPr>
            <w:tcW w:type="dxa" w:w="2721"/>
            <w:shd w:fill="F1F5F3"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Dependencias</w:t>
            </w:r>
          </w:p>
        </w:tc>
        <w:tc>
          <w:tcPr>
            <w:tcW w:type="dxa" w:w="6351"/>
            <w:shd w:fill="F1F5F3"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Otras historias, servicios externos o insumos de diseño requeridos antes de iniciar</w:t>
            </w:r>
          </w:p>
        </w:tc>
      </w:tr>
      <w:tr>
        <w:trPr>
          <w:cantSplit/>
        </w:trPr>
        <w:tc>
          <w:tcPr>
            <w:tcW w:type="dxa" w:w="2721"/>
            <w:shd w:fill="FFFFFF"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Insumos de diseño</w:t>
            </w:r>
          </w:p>
        </w:tc>
        <w:tc>
          <w:tcPr>
            <w:tcW w:type="dxa" w:w="6351"/>
            <w:shd w:fill="FFFFFF"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Enlace al wireframe o prototipo de Figma correspondiente, cuando aplique</w:t>
            </w:r>
          </w:p>
        </w:tc>
      </w:tr>
      <w:tr>
        <w:trPr>
          <w:cantSplit/>
        </w:trPr>
        <w:tc>
          <w:tcPr>
            <w:tcW w:type="dxa" w:w="2721"/>
            <w:shd w:fill="F1F5F3"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Notas de QA</w:t>
            </w:r>
          </w:p>
        </w:tc>
        <w:tc>
          <w:tcPr>
            <w:tcW w:type="dxa" w:w="6351"/>
            <w:shd w:fill="F1F5F3"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Casos límite (edge cases) o consideraciones de prueba relevantes para la Fase 5</w:t>
            </w:r>
          </w:p>
        </w:tc>
      </w:tr>
    </w:tbl>
    <w:p>
      <w:pPr>
        <w:spacing w:after="160"/>
      </w:pPr>
    </w:p>
    <w:p>
      <w:pPr>
        <w:pStyle w:val="Heading1"/>
        <w:pageBreakBefore/>
        <w:pBdr>
          <w:bottom w:val="single" w:color="1F6F4A" w:sz="14" w:space="8"/>
        </w:pBdr>
        <w:spacing w:after="260" w:before="0"/>
      </w:pPr>
      <w:r>
        <w:rPr>
          <w:rFonts w:ascii="Calibri" w:cs="Calibri" w:eastAsia="Calibri" w:hAnsi="Calibri"/>
          <w:b/>
          <w:bCs/>
          <w:color w:val="173F32"/>
          <w:sz w:val="32"/>
          <w:szCs w:val="32"/>
        </w:rPr>
        <w:t xml:space="preserve">Anexo C. Plantilla de Informe de Incidente (Post-Mortem)</w:t>
      </w:r>
    </w:p>
    <w:p>
      <w:pPr>
        <w:spacing w:after="160" w:line="276"/>
        <w:jc w:val="left"/>
      </w:pPr>
      <w:r>
        <w:rPr>
          <w:rFonts w:ascii="Calibri" w:cs="Calibri" w:eastAsia="Calibri" w:hAnsi="Calibri"/>
          <w:color w:val="232323"/>
          <w:sz w:val="21"/>
          <w:szCs w:val="21"/>
        </w:rPr>
        <w:t xml:space="preserve">Plantilla a completar tras todo incidente de severidad Sev1 o Sev2 (sección 10.2), como parte del cierre del protocolo de hotfix descrito en la sección 10.4.1. Su propósito es transformar cada incidente en aprendizaje documentado, evitando la recurrencia del mismo problema.</w:t>
      </w:r>
    </w:p>
    <w:tbl>
      <w:tblPr>
        <w:tblW w:type="dxa" w:w="9072"/>
        <w:tblBorders>
          <w:top w:val="single" w:color="BFBFBF" w:sz="4"/>
          <w:left w:val="single" w:color="BFBFBF" w:sz="4"/>
          <w:bottom w:val="single" w:color="BFBFBF" w:sz="4"/>
          <w:right w:val="single" w:color="BFBFBF" w:sz="4"/>
          <w:insideH w:val="single" w:color="DCDCDC" w:sz="2"/>
          <w:insideV w:val="single" w:color="DCDCDC" w:sz="2"/>
        </w:tblBorders>
      </w:tblPr>
      <w:tblGrid>
        <w:gridCol w:w="2721"/>
        <w:gridCol w:w="6351"/>
      </w:tblGrid>
      <w:tr>
        <w:trPr>
          <w:cantSplit/>
        </w:trPr>
        <w:tc>
          <w:tcPr>
            <w:tcW w:type="dxa" w:w="2721"/>
            <w:shd w:fill="FFFFFF"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ID del incidente</w:t>
            </w:r>
          </w:p>
        </w:tc>
        <w:tc>
          <w:tcPr>
            <w:tcW w:type="dxa" w:w="6351"/>
            <w:shd w:fill="FFFFFF"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Correlativo único, vinculado al registro en la herramienta de monitoreo (sección 10.5)</w:t>
            </w:r>
          </w:p>
        </w:tc>
      </w:tr>
      <w:tr>
        <w:trPr>
          <w:cantSplit/>
        </w:trPr>
        <w:tc>
          <w:tcPr>
            <w:tcW w:type="dxa" w:w="2721"/>
            <w:shd w:fill="F1F5F3"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Fecha y hora de detección</w:t>
            </w:r>
          </w:p>
        </w:tc>
        <w:tc>
          <w:tcPr>
            <w:tcW w:type="dxa" w:w="6351"/>
            <w:shd w:fill="F1F5F3"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Marca de tiempo del primer registro o alerta</w:t>
            </w:r>
          </w:p>
        </w:tc>
      </w:tr>
      <w:tr>
        <w:trPr>
          <w:cantSplit/>
        </w:trPr>
        <w:tc>
          <w:tcPr>
            <w:tcW w:type="dxa" w:w="2721"/>
            <w:shd w:fill="FFFFFF"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Severidad</w:t>
            </w:r>
          </w:p>
        </w:tc>
        <w:tc>
          <w:tcPr>
            <w:tcW w:type="dxa" w:w="6351"/>
            <w:shd w:fill="FFFFFF"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Sev1 a Sev4, según la clasificación de la sección 10.2</w:t>
            </w:r>
          </w:p>
        </w:tc>
      </w:tr>
      <w:tr>
        <w:trPr>
          <w:cantSplit/>
        </w:trPr>
        <w:tc>
          <w:tcPr>
            <w:tcW w:type="dxa" w:w="2721"/>
            <w:shd w:fill="F1F5F3"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Descripción del impacto</w:t>
            </w:r>
          </w:p>
        </w:tc>
        <w:tc>
          <w:tcPr>
            <w:tcW w:type="dxa" w:w="6351"/>
            <w:shd w:fill="F1F5F3"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Usuarios y funcionalidades afectadas; estimación del impacto transaccional (reservas o pagos afectados)</w:t>
            </w:r>
          </w:p>
        </w:tc>
      </w:tr>
      <w:tr>
        <w:trPr>
          <w:cantSplit/>
        </w:trPr>
        <w:tc>
          <w:tcPr>
            <w:tcW w:type="dxa" w:w="2721"/>
            <w:shd w:fill="FFFFFF"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Línea de tiempo</w:t>
            </w:r>
          </w:p>
        </w:tc>
        <w:tc>
          <w:tcPr>
            <w:tcW w:type="dxa" w:w="6351"/>
            <w:shd w:fill="FFFFFF"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Secuencia de eventos: detección, escalamiento (L1→L2→L3), diagnóstico y resolución</w:t>
            </w:r>
          </w:p>
        </w:tc>
      </w:tr>
      <w:tr>
        <w:trPr>
          <w:cantSplit/>
        </w:trPr>
        <w:tc>
          <w:tcPr>
            <w:tcW w:type="dxa" w:w="2721"/>
            <w:shd w:fill="F1F5F3"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Causa raíz</w:t>
            </w:r>
          </w:p>
        </w:tc>
        <w:tc>
          <w:tcPr>
            <w:tcW w:type="dxa" w:w="6351"/>
            <w:shd w:fill="F1F5F3"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Explicación técnica de la causa que originó el incidente</w:t>
            </w:r>
          </w:p>
        </w:tc>
      </w:tr>
      <w:tr>
        <w:trPr>
          <w:cantSplit/>
        </w:trPr>
        <w:tc>
          <w:tcPr>
            <w:tcW w:type="dxa" w:w="2721"/>
            <w:shd w:fill="FFFFFF"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Acción correctiva (hotfix)</w:t>
            </w:r>
          </w:p>
        </w:tc>
        <w:tc>
          <w:tcPr>
            <w:tcW w:type="dxa" w:w="6351"/>
            <w:shd w:fill="FFFFFF"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Descripción del parche aplicado y su número de versión (SemVer, sección 10.3)</w:t>
            </w:r>
          </w:p>
        </w:tc>
      </w:tr>
      <w:tr>
        <w:trPr>
          <w:cantSplit/>
        </w:trPr>
        <w:tc>
          <w:tcPr>
            <w:tcW w:type="dxa" w:w="2721"/>
            <w:shd w:fill="F1F5F3"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Acciones preventivas</w:t>
            </w:r>
          </w:p>
        </w:tc>
        <w:tc>
          <w:tcPr>
            <w:tcW w:type="dxa" w:w="6351"/>
            <w:shd w:fill="F1F5F3"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Ítems agregados al Product Backlog como deuda técnica o mejora de monitoreo, con responsable y sprint objetivo</w:t>
            </w:r>
          </w:p>
        </w:tc>
      </w:tr>
      <w:tr>
        <w:trPr>
          <w:cantSplit/>
        </w:trPr>
        <w:tc>
          <w:tcPr>
            <w:tcW w:type="dxa" w:w="2721"/>
            <w:shd w:fill="FFFFFF" w:val="clear"/>
            <w:tcMar>
              <w:top w:type="dxa" w:w="90"/>
              <w:left w:type="dxa" w:w="110"/>
              <w:bottom w:type="dxa" w:w="90"/>
              <w:right w:type="dxa" w:w="110"/>
            </w:tcMar>
            <w:vAlign w:val="center"/>
          </w:tcPr>
          <w:p>
            <w:r>
              <w:rPr>
                <w:rFonts w:ascii="Calibri" w:cs="Calibri" w:eastAsia="Calibri" w:hAnsi="Calibri"/>
                <w:b/>
                <w:bCs/>
                <w:color w:val="173F32"/>
                <w:sz w:val="19"/>
                <w:szCs w:val="19"/>
              </w:rPr>
              <w:t xml:space="preserve">Responsable del informe</w:t>
            </w:r>
          </w:p>
        </w:tc>
        <w:tc>
          <w:tcPr>
            <w:tcW w:type="dxa" w:w="6351"/>
            <w:shd w:fill="FFFFFF" w:val="clear"/>
            <w:tcMar>
              <w:top w:type="dxa" w:w="90"/>
              <w:left w:type="dxa" w:w="110"/>
              <w:bottom w:type="dxa" w:w="90"/>
              <w:right w:type="dxa" w:w="110"/>
            </w:tcMar>
            <w:vAlign w:val="center"/>
          </w:tcPr>
          <w:p>
            <w:pPr>
              <w:spacing w:line="250"/>
            </w:pPr>
            <w:r>
              <w:rPr>
                <w:rFonts w:ascii="Calibri" w:cs="Calibri" w:eastAsia="Calibri" w:hAnsi="Calibri"/>
                <w:color w:val="232323"/>
                <w:sz w:val="19"/>
                <w:szCs w:val="19"/>
              </w:rPr>
              <w:t xml:space="preserve">Integrante del equipo (habitualmente de L3) que documenta el post-mortem</w:t>
            </w:r>
          </w:p>
        </w:tc>
      </w:tr>
    </w:tbl>
    <w:p>
      <w:pPr>
        <w:spacing w:after="160"/>
      </w:pP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space="4"/>
      </w:pBdr>
      <w:jc w:val="center"/>
    </w:pPr>
    <w:r>
      <w:rPr>
        <w:rFonts w:ascii="Calibri" w:cs="Calibri" w:eastAsia="Calibri" w:hAnsi="Calibri"/>
        <w:color w:val="8A8A8A"/>
        <w:sz w:val="16"/>
        <w:szCs w:val="16"/>
      </w:rPr>
      <w:t xml:space="preserve">KanchaYA S.A.C.  ·  Página </w:t>
    </w:r>
    <w:r>
      <w:rPr>
        <w:rFonts w:ascii="Calibri" w:cs="Calibri" w:eastAsia="Calibri" w:hAnsi="Calibri"/>
        <w:color w:val="8A8A8A"/>
        <w:sz w:val="16"/>
        <w:szCs w:val="16"/>
      </w:rPr>
      <w:fldChar w:fldCharType="begin"/>
      <w:instrText xml:space="preserve">PAGE</w:instrText>
      <w:fldChar w:fldCharType="separate"/>
      <w:fldChar w:fldCharType="end"/>
    </w:r>
    <w:r>
      <w:rPr>
        <w:rFonts w:ascii="Calibri" w:cs="Calibri" w:eastAsia="Calibri" w:hAnsi="Calibri"/>
        <w:color w:val="8A8A8A"/>
        <w:sz w:val="16"/>
        <w:szCs w:val="16"/>
      </w:rPr>
      <w:t xml:space="preserve"> de </w:t>
    </w:r>
    <w:r>
      <w:rPr>
        <w:rFonts w:ascii="Calibri" w:cs="Calibri" w:eastAsia="Calibri" w:hAnsi="Calibri"/>
        <w:color w:val="8A8A8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CE" w:sz="4" w:space="4"/>
      </w:pBdr>
      <w:tabs>
        <w:tab w:val="right" w:pos="9026"/>
      </w:tabs>
    </w:pPr>
    <w:r>
      <w:rPr>
        <w:rFonts w:ascii="Calibri" w:cs="Calibri" w:eastAsia="Calibri" w:hAnsi="Calibri"/>
        <w:color w:val="5B5B5B"/>
        <w:sz w:val="16"/>
        <w:szCs w:val="16"/>
      </w:rPr>
      <w:t xml:space="preserve">KanchaYA — Plan de Proyecto de Construcción del Sistema</w:t>
    </w:r>
    <w:r>
      <w:rPr>
        <w:rFonts w:ascii="Calibri" w:cs="Calibri" w:eastAsia="Calibri" w:hAnsi="Calibri"/>
        <w:color w:val="5B5B5B"/>
        <w:sz w:val="16"/>
        <w:szCs w:val="16"/>
      </w:rPr>
      <w:t xml:space="preserve">	Confidencial · Uso interno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color w:val="1F6F4A"/>
        <w:sz w:val="14"/>
        <w:szCs w:val="14"/>
      </w:rPr>
    </w:lvl>
    <w:lvl w:ilvl="1" w15:tentative="1">
      <w:start w:val="1"/>
      <w:numFmt w:val="bullet"/>
      <w:lvlText w:val="○"/>
      <w:lvlJc w:val="left"/>
      <w:pPr>
        <w:ind w:left="1280" w:hanging="320"/>
      </w:pPr>
      <w:rPr>
        <w:color w:val="2E5C8A"/>
        <w:sz w:val="14"/>
        <w:szCs w:val="14"/>
      </w:rPr>
    </w:lvl>
    <w:lvl w:ilvl="2" w15:tentative="1">
      <w:start w:val="1"/>
      <w:numFmt w:val="bullet"/>
      <w:lvlText w:val="▪"/>
      <w:lvlJc w:val="left"/>
      <w:pPr>
        <w:ind w:left="1920" w:hanging="320"/>
      </w:pPr>
      <w:rPr>
        <w:color w:val="5B5B5B"/>
        <w:sz w:val="12"/>
        <w:szCs w:val="12"/>
      </w:rPr>
    </w:lvl>
  </w:abstractNum>
  <w:abstractNum w:abstractNumId="3" w15:restartNumberingAfterBreak="0">
    <w:multiLevelType w:val="hybridMultilevel"/>
    <w:lvl w:ilvl="0" w15:tentative="1">
      <w:start w:val="1"/>
      <w:numFmt w:val="decimal"/>
      <w:lvlText w:val="%1."/>
      <w:lvlJc w:val="left"/>
      <w:pPr>
        <w:ind w:left="640" w:hanging="320"/>
      </w:pPr>
    </w:lvl>
    <w:lvl w:ilvl="1" w15:tentative="1">
      <w:start w:val="1"/>
      <w:numFmt w:val="lowerLetter"/>
      <w:lvlText w:val="%2)"/>
      <w:lvlJc w:val="left"/>
      <w:pPr>
        <w:ind w:left="12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3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Proyecto — Construcción del Sistema KanchaYA</dc:title>
  <dc:creator>KanchaYA S.A.C.</dc:creator>
  <dc:description>Plan de proyecto para la construcción del sistema KanchaYA bajo metodología Scrum</dc:description>
  <cp:lastModifiedBy>Un-named</cp:lastModifiedBy>
  <cp:revision>1</cp:revision>
  <dcterms:created xsi:type="dcterms:W3CDTF">2026-08-23T14:09:24.265Z</dcterms:created>
  <dcterms:modified xsi:type="dcterms:W3CDTF">2026-08-23T14:09:24.279Z</dcterms:modified>
</cp:coreProperties>
</file>

<file path=docProps/custom.xml><?xml version="1.0" encoding="utf-8"?>
<Properties xmlns="http://schemas.openxmlformats.org/officeDocument/2006/custom-properties" xmlns:vt="http://schemas.openxmlformats.org/officeDocument/2006/docPropsVTypes"/>
</file>