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20f873cf4a4568469936df35baf638672b9aab0"/>
    <w:p>
      <w:pPr>
        <w:pStyle w:val="Heading1"/>
      </w:pPr>
      <w:r>
        <w:t xml:space="preserve">AcademAI — Tasks da Mafê: o que foi feito e medido</w:t>
      </w:r>
    </w:p>
    <w:p>
      <w:pPr>
        <w:pStyle w:val="FirstParagraph"/>
      </w:pPr>
      <w:r>
        <w:rPr>
          <w:bCs/>
          <w:b/>
        </w:rPr>
        <w:t xml:space="preserve">Responsável:</w:t>
      </w:r>
      <w:r>
        <w:t xml:space="preserve"> </w:t>
      </w:r>
      <w:r>
        <w:t xml:space="preserve">Maria Fernanda de Almeida Maneira — ingestão, dados e infraestrutura</w:t>
      </w:r>
    </w:p>
    <w:p>
      <w:pPr>
        <w:pStyle w:val="BodyText"/>
      </w:pPr>
      <w:r>
        <w:rPr>
          <w:bCs/>
          <w:b/>
        </w:rPr>
        <w:t xml:space="preserve">Base:</w:t>
      </w:r>
      <w:r>
        <w:t xml:space="preserve"> </w:t>
      </w:r>
      <w:r>
        <w:t xml:space="preserve">divisão de tarefas do grupo (26 tarefas, 7 da Mafê) e TCC_DOC_Rev11.docx</w:t>
      </w:r>
    </w:p>
    <w:p>
      <w:pPr>
        <w:pStyle w:val="BodyText"/>
      </w:pPr>
      <w:r>
        <w:rPr>
          <w:bCs/>
          <w:b/>
        </w:rPr>
        <w:t xml:space="preserve">Código:</w:t>
      </w:r>
      <w:r>
        <w:t xml:space="preserve"> </w:t>
      </w:r>
      <w:r>
        <w:t xml:space="preserve">branch</w:t>
      </w:r>
      <w:r>
        <w:t xml:space="preserve"> </w:t>
      </w:r>
      <w:r>
        <w:rPr>
          <w:rStyle w:val="VerbatimChar"/>
        </w:rPr>
        <w:t xml:space="preserve">tasks-mafe-14102026</w:t>
      </w:r>
      <w:r>
        <w:t xml:space="preserve">, PR #18 (fabriciosuzart/AcademAI)</w:t>
      </w:r>
    </w:p>
    <w:bookmarkStart w:id="20" w:name="como-ler-este-documento"/>
    <w:p>
      <w:pPr>
        <w:pStyle w:val="Heading2"/>
      </w:pPr>
      <w:r>
        <w:t xml:space="preserve">Como ler este documento</w:t>
      </w:r>
    </w:p>
    <w:p>
      <w:pPr>
        <w:pStyle w:val="FirstParagraph"/>
      </w:pPr>
      <w:r>
        <w:t xml:space="preserve">Cada task segue a mesma estrutura: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Pedido:</w:t>
      </w:r>
      <w:r>
        <w:t xml:space="preserve"> </w:t>
      </w:r>
      <w:r>
        <w:t xml:space="preserve">o texto da divisão de tarefas, sem alteração.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Status:</w:t>
      </w:r>
      <w:r>
        <w:t xml:space="preserve"> </w:t>
      </w:r>
      <w:r>
        <w:t xml:space="preserve">concluída, ou o que ainda falta.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O que foi feito:</w:t>
      </w:r>
      <w:r>
        <w:t xml:space="preserve"> </w:t>
      </w:r>
      <w:r>
        <w:t xml:space="preserve">decisões, código e testes.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O que foi medido:</w:t>
      </w:r>
      <w:r>
        <w:t xml:space="preserve"> </w:t>
      </w:r>
      <w:r>
        <w:t xml:space="preserve">números já levantados. Só entram aqui dados que não dependem da máquina (contagens, tamanhos, cálculos).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O que falta:</w:t>
      </w:r>
      <w:r>
        <w:t xml:space="preserve"> </w:t>
      </w:r>
      <w:r>
        <w:t xml:space="preserve">itens que dependem da sessão de testes no PC de referência (task 7 e roteiro no final).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Texto para o TCC:</w:t>
      </w:r>
      <w:r>
        <w:t xml:space="preserve"> </w:t>
      </w:r>
      <w:r>
        <w:t xml:space="preserve">trecho pronto para colar no lugar da marcação</w:t>
      </w:r>
      <w:r>
        <w:t xml:space="preserve"> </w:t>
      </w:r>
      <w:r>
        <w:rPr>
          <w:rStyle w:val="VerbatimChar"/>
        </w:rPr>
        <w:t xml:space="preserve">[INSERIR DADOS AQUI]</w:t>
      </w:r>
      <w:r>
        <w:t xml:space="preserve">. Onde aparecer</w:t>
      </w:r>
      <w:r>
        <w:t xml:space="preserve"> </w:t>
      </w:r>
      <w:r>
        <w:rPr>
          <w:rStyle w:val="VerbatimChar"/>
          <w:b/>
          <w:highlight w:val="yellow"/>
        </w:rPr>
        <w:t xml:space="preserve">[MEDIR NA SESSÃO]</w:t>
      </w:r>
      <w:r>
        <w:t xml:space="preserve">, o número sai da sessão de testes.</w:t>
      </w:r>
    </w:p>
    <w:bookmarkEnd w:id="20"/>
    <w:bookmarkStart w:id="21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As tasks estão em ordem de urgência. A divisão de tarefas pede que o hardware (p.65 e p.66) seja fechado primeiro, porque as medições do Arthur dependem dele.</w:t>
      </w:r>
    </w:p>
    <w:tbl>
      <w:tblPr>
        <w:tblStyle w:val="Table"/>
        <w:tblW w:type="dxa" w:w="907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 a divergência de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o ambiente de hardware das medições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o volume de dados dos 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Parcial: tempos e memória dependem da sessão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os limites do Docling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 (falta só testar com um PDF real)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Justificar o chunk de 2.000 caracteres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Parcial: taxa de acerto e tokens dependem da sessão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Informar a periodicidade e o local do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 (falta a validação do Fabrício)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Estimar a demanda mínima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pronta; recalcular com o tempo medido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task-1--divergência-de-hardware-p65"/>
    <w:p>
      <w:pPr>
        <w:pStyle w:val="Heading2"/>
      </w:pPr>
      <w:r>
        <w:t xml:space="preserve">Task 1 — Divergência de hardware (p.65)</w:t>
      </w:r>
    </w:p>
    <w:p>
      <w:pPr>
        <w:pStyle w:val="FirstParagraph"/>
      </w:pPr>
      <w:r>
        <w:rPr>
          <w:bCs/>
          <w:b/>
        </w:rPr>
        <w:t xml:space="preserve">Pedido:</w:t>
      </w:r>
      <w:r>
        <w:t xml:space="preserve"> </w:t>
      </w:r>
      <w:r>
        <w:t xml:space="preserve">"p.65: Resolver a divergência de hardware entre o texto e o artigo COBRIC 2026 (Ryzen 5 4600G, 32 GB, Windows 11, Node 24.19.0) e uniformizar o capítulo, RNF01, RNF02 e a Seção 3.4.1. (SS43)"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concluída.</w:t>
      </w:r>
    </w:p>
    <w:bookmarkStart w:id="22" w:name="o-que-foi-feito"/>
    <w:p>
      <w:pPr>
        <w:pStyle w:val="Heading3"/>
      </w:pPr>
      <w:r>
        <w:t xml:space="preserve">O que foi feito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Divergência encontrada:</w:t>
      </w:r>
      <w:r>
        <w:t xml:space="preserve"> </w:t>
      </w:r>
      <w:r>
        <w:t xml:space="preserve">o TCC cita "Ryzen 5 2400G, 16 GB" em quatro lugares (RNF01, RNF02, Seção 3.4.1 e Seção 6.3). O artigo COBRIC cita Ryzen 5 4600G, 32 GB, Windows 11 e Node 24.19.0. O Quadro 20 cita Node 20 LTS, e o guia de instalação do projeto pedia Node 22.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Decisão da Mafê:</w:t>
      </w:r>
      <w:r>
        <w:t xml:space="preserve"> </w:t>
      </w:r>
      <w:r>
        <w:t xml:space="preserve">o PC do artigo COBRIC é o dela. Ele passa a ser o</w:t>
      </w:r>
      <w:r>
        <w:t xml:space="preserve"> </w:t>
      </w:r>
      <w:r>
        <w:rPr>
          <w:bCs/>
          <w:b/>
        </w:rPr>
        <w:t xml:space="preserve">ambiente de medição</w:t>
      </w:r>
      <w:r>
        <w:t xml:space="preserve">, onde os números foram obtidos, e não um requisito.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Hardware mínimo funcional:</w:t>
      </w:r>
      <w:r>
        <w:t xml:space="preserve"> </w:t>
      </w:r>
      <w:r>
        <w:rPr>
          <w:bCs/>
          <w:b/>
        </w:rPr>
        <w:t xml:space="preserve">8 GB de RAM</w:t>
      </w:r>
      <w:r>
        <w:t xml:space="preserve">, conforme o teste feito no Apple M1 de 8 GB. Fica registrado que o sistema roda em outras máquinas e que o tempo de resposta depende do hardware.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Textos novos:</w:t>
      </w:r>
      <w:r>
        <w:t xml:space="preserve"> </w:t>
      </w:r>
      <w:r>
        <w:t xml:space="preserve">escritos para todos os pontos do TCC (abaixo).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Repositório: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INICIA_PROJETO.md</w:t>
      </w:r>
      <w:r>
        <w:t xml:space="preserve"> </w:t>
      </w:r>
      <w:r>
        <w:t xml:space="preserve">foi atualizado com Node 22 ou 24 e o mínimo de 8 GB.</w:t>
      </w:r>
    </w:p>
    <w:bookmarkEnd w:id="22"/>
    <w:bookmarkStart w:id="23" w:name="o-que-foi-medido"/>
    <w:p>
      <w:pPr>
        <w:pStyle w:val="Heading3"/>
      </w:pPr>
      <w:r>
        <w:t xml:space="preserve">O que foi medido</w:t>
      </w:r>
    </w:p>
    <w:p>
      <w:pPr>
        <w:pStyle w:val="FirstParagraph"/>
      </w:pPr>
      <w:r>
        <w:t xml:space="preserve">Nada: esta task é de uniformização do texto.</w:t>
      </w:r>
    </w:p>
    <w:bookmarkEnd w:id="23"/>
    <w:bookmarkStart w:id="24" w:name="o-que-falta"/>
    <w:p>
      <w:pPr>
        <w:pStyle w:val="Heading3"/>
      </w:pPr>
      <w:r>
        <w:t xml:space="preserve">O que falta</w:t>
      </w:r>
    </w:p>
    <w:p>
      <w:pPr>
        <w:pStyle w:val="FirstParagraph"/>
      </w:pPr>
      <w:r>
        <w:t xml:space="preserve">Confirmar se o estudo de caso com os 6 usuários também rodou no 4600G. Se rodou em outra máquina, acrescentar uma frase na Seção 6.3 dizendo isso.</w:t>
      </w:r>
    </w:p>
    <w:bookmarkEnd w:id="24"/>
    <w:bookmarkStart w:id="25" w:name="texto-para-o-tcc"/>
    <w:p>
      <w:pPr>
        <w:pStyle w:val="Heading3"/>
      </w:pPr>
      <w:r>
        <w:t xml:space="preserve">Texto para o TCC</w:t>
      </w:r>
    </w:p>
    <w:p>
      <w:pPr>
        <w:pStyle w:val="FirstParagraph"/>
      </w:pPr>
      <w:r>
        <w:rPr>
          <w:bCs/>
          <w:b/>
        </w:rPr>
        <w:t xml:space="preserve">Seção 6.3 — primeiro parágrafo (substitui o parágrafo inteiro):</w:t>
      </w:r>
    </w:p>
    <w:p>
      <w:pPr>
        <w:pStyle w:val="BlockText"/>
      </w:pPr>
      <w:r>
        <w:t xml:space="preserve">As medições de desempenho foram realizadas na estação de trabalho de uma das integrantes da equipe, com processador AMD Ryzen 5 4600G (6 núcleos, gráficos integrados, sem GPU dedicada), 32 GB de memória RAM e sistema operacional Windows 11, executando Node.js v24.19.0 e o modelo Llama 3.2 3B por meio do Ollama. Essa configuração é a mesma relatada no artigo apresentado pela equipe no COBRIC 2026 e corresponde a um computador pessoal de uso comum, e não a um servidor dedicado. O sistema também foi executado em arquitetura ARM, em um Apple Silicon M1 com 8 GB de memória unificada, configuração adotada como hardware mínimo funcional (Seção 3.4.1); nesse equipamento não foram feitas medições de desempenho, e os tempos de resposta tendem a ser maiores que os da Tabela 1.</w:t>
      </w:r>
    </w:p>
    <w:p>
      <w:pPr>
        <w:pStyle w:val="FirstParagraph"/>
      </w:pPr>
      <w:r>
        <w:rPr>
          <w:bCs/>
          <w:b/>
        </w:rPr>
        <w:t xml:space="preserve">Seção 3.3.1 — RNF01 (substitui a frase "Condição de teste: ..."):</w:t>
      </w:r>
    </w:p>
    <w:p>
      <w:pPr>
        <w:pStyle w:val="BlockText"/>
      </w:pPr>
      <w:r>
        <w:t xml:space="preserve">Condição de teste: ambiente de medição descrito na Seção 6.3 (AMD Ryzen 5 4600G, 32 GB de RAM, sem GPU dedicada, Windows 11, Node.js v24.19.0), sem carga concorrente.</w:t>
      </w:r>
    </w:p>
    <w:p>
      <w:pPr>
        <w:pStyle w:val="FirstParagraph"/>
      </w:pPr>
      <w:r>
        <w:rPr>
          <w:bCs/>
          <w:b/>
        </w:rPr>
        <w:t xml:space="preserve">Seção 3.3.1 — RNF02 (substitui "no hardware de referência do estudo de caso (...)"):</w:t>
      </w:r>
    </w:p>
    <w:p>
      <w:pPr>
        <w:pStyle w:val="BlockText"/>
      </w:pPr>
      <w:r>
        <w:t xml:space="preserve">no ambiente de medição descrito na Seção 6.3 (AMD Ryzen 5 4600G, 32 GB de RAM, sem GPU dedicada, modelo Llama 3.2 3B via Ollama). Em equipamentos com menos recursos, como o hardware mínimo funcional da Seção 3.4.1, o tempo de resposta tende a ser maior; com GPU dedicada de 6 GB de VRAM, tende a ser menor.</w:t>
      </w:r>
    </w:p>
    <w:p>
      <w:pPr>
        <w:pStyle w:val="FirstParagraph"/>
      </w:pPr>
      <w:r>
        <w:rPr>
          <w:bCs/>
          <w:b/>
        </w:rPr>
        <w:t xml:space="preserve">Seção 3.4.1 — item de hardware (substitui o item inteiro):</w:t>
      </w:r>
    </w:p>
    <w:p>
      <w:pPr>
        <w:pStyle w:val="BlockText"/>
      </w:pPr>
      <w:r>
        <w:t xml:space="preserve">• Hardware mínimo funcional: processador de 64 bits (x86-64 ou ARM), 8 GB de RAM, sem GPU dedicada e 50 GB de armazenamento livre, configuração em que o protótipo foi executado (Apple Silicon M1, 8 GB). O tempo de resposta do assistente depende do hardware: os valores da Seção 6.4 foram medidos em uma estação com AMD Ryzen 5 4600G e 32 GB de RAM (Seção 6.3). Hardware recomendado para melhor desempenho: GPU dedicada com 6 GB de VRAM.</w:t>
      </w:r>
    </w:p>
    <w:p>
      <w:pPr>
        <w:pStyle w:val="FirstParagraph"/>
      </w:pPr>
      <w:r>
        <w:rPr>
          <w:bCs/>
          <w:b/>
        </w:rPr>
        <w:t xml:space="preserve">Quadro 20 — linha Backend:</w:t>
      </w:r>
    </w:p>
    <w:p>
      <w:pPr>
        <w:pStyle w:val="BlockText"/>
      </w:pPr>
      <w:r>
        <w:t xml:space="preserve">Node.js 22 LTS ou 24 (medições em v24.19.0), Express</w:t>
      </w:r>
    </w:p>
    <w:p>
      <w:pPr>
        <w:pStyle w:val="FirstParagraph"/>
      </w:pPr>
      <w:r>
        <w:rPr>
          <w:bCs/>
          <w:b/>
        </w:rPr>
        <w:t xml:space="preserve">Seção 3.4.2:</w:t>
      </w:r>
      <w:r>
        <w:t xml:space="preserve"> </w:t>
      </w:r>
      <w:r>
        <w:t xml:space="preserve">sem alteração, porque a premissa já remete ao hardware mínimo da Seção 3.4.1.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a959628fabac5793648a47de29a67f969f4dbd7"/>
    <w:p>
      <w:pPr>
        <w:pStyle w:val="Heading2"/>
      </w:pPr>
      <w:r>
        <w:t xml:space="preserve">Task 2 — Confirmar o ambiente de hardware das medições (p.66)</w:t>
      </w:r>
    </w:p>
    <w:p>
      <w:pPr>
        <w:pStyle w:val="FirstParagraph"/>
      </w:pPr>
      <w:r>
        <w:rPr>
          <w:bCs/>
          <w:b/>
        </w:rPr>
        <w:t xml:space="preserve">Pedido:</w:t>
      </w:r>
      <w:r>
        <w:t xml:space="preserve"> </w:t>
      </w:r>
      <w:r>
        <w:t xml:space="preserve">"p.66: Confirmar o ambiente de hardware das medições (fazer junto com o item da p.65). (SS43)"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concluída.</w:t>
      </w:r>
    </w:p>
    <w:bookmarkStart w:id="27" w:name="o-que-foi-feito-1"/>
    <w:p>
      <w:pPr>
        <w:pStyle w:val="Heading3"/>
      </w:pPr>
      <w:r>
        <w:t xml:space="preserve">O que foi feito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Confirmação:</w:t>
      </w:r>
      <w:r>
        <w:t xml:space="preserve"> </w:t>
      </w:r>
      <w:r>
        <w:t xml:space="preserve">a Mafê confirmou que as medições da Tabela 1, publicadas no artigo COBRIC, foram feitas no PC dela (Ryzen 5 4600G, 32 GB, Windows 11, Node 24.19.0).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Prova automática:</w:t>
      </w:r>
      <w:r>
        <w:t xml:space="preserve"> </w:t>
      </w:r>
      <w:r>
        <w:t xml:space="preserve">os scripts de medição criados nas tasks 3, 5 e 7 gravam no relatório a CPU, a RAM, o sistema operacional e as versões do Node, do Docling e do Ollama. Assim, as próximas medições já trazem o ambiente registrado, sem depender de anotação manual.</w:t>
      </w:r>
    </w:p>
    <w:bookmarkEnd w:id="27"/>
    <w:bookmarkStart w:id="28" w:name="o-que-foi-medido-1"/>
    <w:p>
      <w:pPr>
        <w:pStyle w:val="Heading3"/>
      </w:pPr>
      <w:r>
        <w:t xml:space="preserve">O que foi medido</w:t>
      </w:r>
    </w:p>
    <w:p>
      <w:pPr>
        <w:pStyle w:val="FirstParagraph"/>
      </w:pPr>
      <w:r>
        <w:t xml:space="preserve">Nada: o ambiente foi confirmado pela dona da máquina.</w:t>
      </w:r>
    </w:p>
    <w:bookmarkEnd w:id="28"/>
    <w:bookmarkStart w:id="29" w:name="o-que-falta-1"/>
    <w:p>
      <w:pPr>
        <w:pStyle w:val="Heading3"/>
      </w:pPr>
      <w:r>
        <w:t xml:space="preserve">O que falta</w:t>
      </w:r>
    </w:p>
    <w:p>
      <w:pPr>
        <w:pStyle w:val="FirstParagraph"/>
      </w:pPr>
      <w:r>
        <w:t xml:space="preserve">Nada para o texto. Na sessão de testes, guardar os relatórios: eles servem de comprovação.</w:t>
      </w:r>
    </w:p>
    <w:bookmarkEnd w:id="29"/>
    <w:bookmarkStart w:id="30" w:name="texto-para-o-tcc-1"/>
    <w:p>
      <w:pPr>
        <w:pStyle w:val="Heading3"/>
      </w:pPr>
      <w:r>
        <w:t xml:space="preserve">Texto para o TCC</w:t>
      </w:r>
    </w:p>
    <w:p>
      <w:pPr>
        <w:pStyle w:val="FirstParagraph"/>
      </w:pPr>
      <w:r>
        <w:rPr>
          <w:bCs/>
          <w:b/>
        </w:rPr>
        <w:t xml:space="preserve">Tabela 1 — linha "Fonte" (substitui a linha e a marcação que a acompanha):</w:t>
      </w:r>
    </w:p>
    <w:p>
      <w:pPr>
        <w:pStyle w:val="BlockText"/>
      </w:pPr>
      <w:r>
        <w:t xml:space="preserve">Fonte: os autores (2026), a partir das medições publicadas no artigo COBRIC 2026 da equipe, realizadas no ambiente descrito na Seção 6.3 (AMD Ryzen 5 4600G, 32 GB de RAM, Windows 11, Node.js v24.19.0).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task-3--volume-de-dados-dos-testes-p65"/>
    <w:p>
      <w:pPr>
        <w:pStyle w:val="Heading2"/>
      </w:pPr>
      <w:r>
        <w:t xml:space="preserve">Task 3 — Volume de dados dos testes (p.65)</w:t>
      </w:r>
    </w:p>
    <w:p>
      <w:pPr>
        <w:pStyle w:val="FirstParagraph"/>
      </w:pPr>
      <w:r>
        <w:rPr>
          <w:bCs/>
          <w:b/>
        </w:rPr>
        <w:t xml:space="preserve">Pedido:</w:t>
      </w:r>
      <w:r>
        <w:t xml:space="preserve"> </w:t>
      </w:r>
      <w:r>
        <w:t xml:space="preserve">"p.65: Corrigir o volume de dados dos testes (o texto dizia "3 GB"): informar formatos, páginas, tamanho dos embeddings, tempo do Docling, tempo de indexação e memória. (SS45, SS43)"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parcial. Formatos, tamanhos, fragmentos e tamanho dos embeddings estão levantados. Tempo do Docling, tempo de indexação e memória dependem da sessão de testes.</w:t>
      </w:r>
    </w:p>
    <w:bookmarkStart w:id="32" w:name="o-que-foi-feito-2"/>
    <w:p>
      <w:pPr>
        <w:pStyle w:val="Heading3"/>
      </w:pPr>
      <w:r>
        <w:t xml:space="preserve">O que foi feito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"3 GB" corrigido:</w:t>
      </w:r>
      <w:r>
        <w:t xml:space="preserve"> </w:t>
      </w:r>
      <w:r>
        <w:t xml:space="preserve">o valor estava errado. O acervo do estudo de caso são os 4 arquivos de</w:t>
      </w:r>
      <w:r>
        <w:t xml:space="preserve"> </w:t>
      </w:r>
      <w:r>
        <w:rPr>
          <w:rStyle w:val="VerbatimChar"/>
        </w:rPr>
        <w:t xml:space="preserve">backend/documents/</w:t>
      </w:r>
      <w:r>
        <w:t xml:space="preserve">, que somam 7,7 KB. Os 5 fragmentos batem com o artigo COBRIC.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Formatos:</w:t>
      </w:r>
      <w:r>
        <w:t xml:space="preserve"> </w:t>
      </w:r>
      <w:r>
        <w:t xml:space="preserve">os 4 documentos são Markdown. Por isso não passaram pelo Docling, que só converte PDF e DOCX.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Script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npm run medir</w:t>
      </w:r>
      <w:r>
        <w:rPr>
          <w:bCs/>
          <w:b/>
        </w:rPr>
        <w:t xml:space="preserve">:</w:t>
      </w:r>
      <w:r>
        <w:t xml:space="preserve"> </w:t>
      </w:r>
      <w:r>
        <w:t xml:space="preserve">mede, por arquivo, o formato, as páginas, o tamanho, o tempo do Docling e o número de fragmentos. No total, mede o tempo de indexação, o tamanho dos vetores e do</w:t>
      </w:r>
      <w:r>
        <w:t xml:space="preserve"> </w:t>
      </w:r>
      <w:r>
        <w:rPr>
          <w:rStyle w:val="VerbatimChar"/>
        </w:rPr>
        <w:t xml:space="preserve">vector_cache.json</w:t>
      </w:r>
      <w:r>
        <w:t xml:space="preserve">, a memória do backend e o pico de memória do Docling.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Isolamento:</w:t>
      </w:r>
      <w:r>
        <w:t xml:space="preserve"> </w:t>
      </w:r>
      <w:r>
        <w:t xml:space="preserve">o script não altera o acervo nem o índice do sistema.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Teste:</w:t>
      </w:r>
      <w:r>
        <w:t xml:space="preserve"> </w:t>
      </w:r>
      <w:r>
        <w:t xml:space="preserve">ele foi rodado de ponta a ponta com um modelo de embeddings simulado, porque o ambiente em que o código foi preparado não acessa o site que hospeda o modelo real.</w:t>
      </w:r>
    </w:p>
    <w:bookmarkEnd w:id="32"/>
    <w:bookmarkStart w:id="33" w:name="o-que-foi-medido-2"/>
    <w:p>
      <w:pPr>
        <w:pStyle w:val="Heading3"/>
      </w:pPr>
      <w:r>
        <w:t xml:space="preserve">O que foi medido</w:t>
      </w:r>
    </w:p>
    <w:p>
      <w:pPr>
        <w:pStyle w:val="FirstParagraph"/>
      </w:pPr>
      <w:r>
        <w:t xml:space="preserve">Dados que não dependem do hardware:</w:t>
      </w:r>
    </w:p>
    <w:tbl>
      <w:tblPr>
        <w:tblStyle w:val="Table"/>
        <w:tblW w:type="dxa" w:w="907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Caracteres (após limpeza)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Fragmentos de 2.000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01-sobre-o-laboratorio.md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02-regras-de-uso.md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03-equipamentos.md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04-como-agendar.md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× 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7,7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7.593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</w:tbl>
    <w:p/>
    <w:tbl>
      <w:tblPr>
        <w:tblStyle w:val="Table"/>
        <w:tblW w:type="dxa" w:w="907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Páginas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se aplica (Markdown não tem páginas)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Dimensões do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 por fragmento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Tamanho dos embeddings em memória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× 384 × 4 bytes = 7.680 bytes (≈ 7,5 KB)</w:t>
            </w:r>
          </w:p>
        </w:tc>
      </w:tr>
    </w:tbl>
    <w:bookmarkEnd w:id="33"/>
    <w:bookmarkStart w:id="34" w:name="o-que-falta-sessão-de-testes"/>
    <w:p>
      <w:pPr>
        <w:pStyle w:val="Heading3"/>
      </w:pPr>
      <w:r>
        <w:t xml:space="preserve">O que falta (sessão de testes)</w:t>
      </w:r>
    </w:p>
    <w:tbl>
      <w:tblPr>
        <w:tblStyle w:val="Table"/>
        <w:tblW w:type="dxa" w:w="907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Tamanho do</w:t>
            </w:r>
            <w:r>
              <w:t xml:space="preserve"> </w:t>
            </w:r>
            <w:r>
              <w:rPr>
                <w:rStyle w:val="VerbatimChar"/>
              </w:rPr>
              <w:t xml:space="preserve">vector_cache.json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medir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Tempo de indexação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medir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Memória do backend no carregamento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medir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Tempo do Docling e páginas (com 1 ou 2 PDFs/DOCX reais do laboratório)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medir -- --pasta &lt;pasta&gt;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Pico de memória do Docling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medir -- --pasta &lt;pasta&gt;</w:t>
            </w:r>
          </w:p>
        </w:tc>
      </w:tr>
    </w:tbl>
    <w:bookmarkEnd w:id="34"/>
    <w:bookmarkStart w:id="35" w:name="texto-para-o-tcc-2"/>
    <w:p>
      <w:pPr>
        <w:pStyle w:val="Heading3"/>
      </w:pPr>
      <w:r>
        <w:t xml:space="preserve">Texto para o TCC</w:t>
      </w:r>
    </w:p>
    <w:p>
      <w:pPr>
        <w:pStyle w:val="FirstParagraph"/>
      </w:pPr>
      <w:r>
        <w:rPr>
          <w:bCs/>
          <w:b/>
        </w:rPr>
        <w:t xml:space="preserve">Seção 6.3 — substitui a última frase do 2º parágrafo e a marcação:</w:t>
      </w:r>
    </w:p>
    <w:p>
      <w:pPr>
        <w:pStyle w:val="BlockText"/>
      </w:pPr>
      <w:r>
        <w:t xml:space="preserve">O repositório de conhecimento foi alimentado com quatro documentos institucionais em formato Markdown, elaborados pela equipe a partir das informações do laboratório — apresentação do espaço e dos perfis de acesso, regras de uso, lista de equipamentos e passo a passo de agendamento —, que somam 7,7 KB e 7.593 caracteres após a limpeza de linhas em branco. A segmentação em fragmentos de até 2.000 caracteres resultou em cinco fragmentos indexados, cada um representado por um vetor de 384 dimensões, o que ocupa cerca de 7,5 KB em memória (ponto flutuante de 32 bits) e</w:t>
      </w:r>
      <w:r>
        <w:t xml:space="preserve"> </w:t>
      </w:r>
      <w:r>
        <w:rPr>
          <w:rStyle w:val="VerbatimChar"/>
          <w:b/>
          <w:highlight w:val="yellow"/>
        </w:rPr>
        <w:t xml:space="preserve">[MEDIR NA SESSÃO]</w:t>
      </w:r>
      <w:r>
        <w:t xml:space="preserve"> </w:t>
      </w:r>
      <w:r>
        <w:t xml:space="preserve">KB no arquivo de índice</w:t>
      </w:r>
      <w:r>
        <w:t xml:space="preserve"> </w:t>
      </w:r>
      <w:r>
        <w:rPr>
          <w:rStyle w:val="VerbatimChar"/>
        </w:rPr>
        <w:t xml:space="preserve">vector_cache.json</w:t>
      </w:r>
      <w:r>
        <w:t xml:space="preserve">. Por estarem em Markdown, esses documentos não passaram pela conversão do Docling, que se aplica apenas a PDF e DOCX. Para estimar o custo dessa etapa, foram convertidos à parte</w:t>
      </w:r>
      <w:r>
        <w:t xml:space="preserve"> </w:t>
      </w:r>
      <w:r>
        <w:rPr>
          <w:rStyle w:val="VerbatimChar"/>
          <w:b/>
          <w:highlight w:val="yellow"/>
        </w:rPr>
        <w:t xml:space="preserve">[MEDIR NA SESSÃO: n]</w:t>
      </w:r>
      <w:r>
        <w:t xml:space="preserve"> </w:t>
      </w:r>
      <w:r>
        <w:t xml:space="preserve">documentos em PDF/DOCX, totalizando</w:t>
      </w:r>
      <w:r>
        <w:t xml:space="preserve"> </w:t>
      </w:r>
      <w:r>
        <w:rPr>
          <w:rStyle w:val="VerbatimChar"/>
          <w:b/>
          <w:highlight w:val="yellow"/>
        </w:rPr>
        <w:t xml:space="preserve">[MEDIR NA SESSÃO]</w:t>
      </w:r>
      <w:r>
        <w:t xml:space="preserve"> </w:t>
      </w:r>
      <w:r>
        <w:t xml:space="preserve">páginas, com tempo de conversão de</w:t>
      </w:r>
      <w:r>
        <w:t xml:space="preserve"> </w:t>
      </w:r>
      <w:r>
        <w:rPr>
          <w:rStyle w:val="VerbatimChar"/>
          <w:b/>
          <w:highlight w:val="yellow"/>
        </w:rPr>
        <w:t xml:space="preserve">[MEDIR NA SESSÃO]</w:t>
      </w:r>
      <w:r>
        <w:t xml:space="preserve"> </w:t>
      </w:r>
      <w:r>
        <w:t xml:space="preserve">s e pico de memória do processo de conversão de</w:t>
      </w:r>
      <w:r>
        <w:t xml:space="preserve"> </w:t>
      </w:r>
      <w:r>
        <w:rPr>
          <w:rStyle w:val="VerbatimChar"/>
          <w:b/>
          <w:highlight w:val="yellow"/>
        </w:rPr>
        <w:t xml:space="preserve">[MEDIR NA SESSÃO]</w:t>
      </w:r>
      <w:r>
        <w:t xml:space="preserve"> </w:t>
      </w:r>
      <w:r>
        <w:t xml:space="preserve">MB. A indexação dos cinco fragmentos levou</w:t>
      </w:r>
      <w:r>
        <w:t xml:space="preserve"> </w:t>
      </w:r>
      <w:r>
        <w:rPr>
          <w:rStyle w:val="VerbatimChar"/>
          <w:b/>
          <w:highlight w:val="yellow"/>
        </w:rPr>
        <w:t xml:space="preserve">[MEDIR NA SESSÃO]</w:t>
      </w:r>
      <w:r>
        <w:t xml:space="preserve"> </w:t>
      </w:r>
      <w:r>
        <w:t xml:space="preserve">ms, após o carregamento do modelo de embeddings, e o processo do backend atingiu</w:t>
      </w:r>
      <w:r>
        <w:t xml:space="preserve"> </w:t>
      </w:r>
      <w:r>
        <w:rPr>
          <w:rStyle w:val="VerbatimChar"/>
          <w:b/>
          <w:highlight w:val="yellow"/>
        </w:rPr>
        <w:t xml:space="preserve">[MEDIR NA SESSÃO]</w:t>
      </w:r>
      <w:r>
        <w:t xml:space="preserve"> </w:t>
      </w:r>
      <w:r>
        <w:t xml:space="preserve">MB de memória durante o carregamento.</w:t>
      </w:r>
    </w:p>
    <w:p>
      <w:pPr>
        <w:pStyle w:val="FirstParagraph"/>
      </w:pPr>
      <w:r>
        <w:rPr>
          <w:bCs/>
          <w:b/>
        </w:rPr>
        <w:t xml:space="preserve">Nota (não colar):</w:t>
      </w:r>
      <w:r>
        <w:t xml:space="preserve"> </w:t>
      </w:r>
      <w:r>
        <w:t xml:space="preserve">o TCC descreve os documentos como "manuais de equipamentos, normas de uso e materiais de apoio". Os arquivos reais são os quatro acima. Ajustar a frase se o grupo concordar.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task-4--limites-do-docling-p17"/>
    <w:p>
      <w:pPr>
        <w:pStyle w:val="Heading2"/>
      </w:pPr>
      <w:r>
        <w:t xml:space="preserve">Task 4 — Limites do Docling (p.17)</w:t>
      </w:r>
    </w:p>
    <w:p>
      <w:pPr>
        <w:pStyle w:val="FirstParagraph"/>
      </w:pPr>
      <w:r>
        <w:rPr>
          <w:bCs/>
          <w:b/>
        </w:rPr>
        <w:t xml:space="preserve">Pedido:</w:t>
      </w:r>
      <w:r>
        <w:t xml:space="preserve"> </w:t>
      </w:r>
      <w:r>
        <w:t xml:space="preserve">"p.17: Definir os limites do Docling: OCR, tabelas, imagens, metadados, rejeição de documentos com falha e logs de ingestão. (SS20)"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concluída. Os limites foram definidos e implementados no código. Falta só uma conversão real de PDF no PC.</w:t>
      </w:r>
    </w:p>
    <w:bookmarkStart w:id="37" w:name="o-que-foi-feito-3"/>
    <w:p>
      <w:pPr>
        <w:pStyle w:val="Heading3"/>
      </w:pPr>
      <w:r>
        <w:t xml:space="preserve">O que foi feito</w:t>
      </w:r>
    </w:p>
    <w:tbl>
      <w:tblPr>
        <w:tblStyle w:val="Table"/>
        <w:tblW w:type="dxa" w:w="907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Limite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ficou no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Ligado para PDF digitalizado, em português e inglês (com EasyOCR). Páginas com texto digital usam o texto do próprio PDF.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backend/converter.py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Reconhecidas pelo modelo de tabelas do Docling e exportadas como tabelas 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backend/converter.py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Imagens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são descritas nem salvas; viram o marcador</w:t>
            </w:r>
            <w:r>
              <w:t xml:space="preserve"> </w:t>
            </w:r>
            <w:r>
              <w:rPr>
                <w:rStyle w:val="VerbatimChar"/>
              </w:rPr>
              <w:t xml:space="preserve">&lt;!-- image --&gt;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backend/converter.py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Metadados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os de origem: nome do arquivo, tipo, hash e nº de páginas, mais data de envio e administrador (no log). Título, autor e data internos não são extraídos.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converter.py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server.js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Rejeição de documento com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Conversão que falha, fica parcial ou não tem texto é recusada e</w:t>
            </w:r>
            <w:r>
              <w:t xml:space="preserve"> </w:t>
            </w:r>
            <w:r>
              <w:rPr>
                <w:bCs/>
                <w:b/>
              </w:rPr>
              <w:t xml:space="preserve">não é indexada</w:t>
            </w:r>
            <w:r>
              <w:t xml:space="preserve"> </w:t>
            </w:r>
            <w:r>
              <w:t xml:space="preserve">(RN14). Também são recusados: formato fora de PDF/DOCX/MD/TXT, arquivo acima de 50 MB, mais de 500 páginas e mais de 300 s de conversão. O arquivo enviado é apagado.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/api/train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Logs de ingestão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envio gera</w:t>
            </w:r>
            <w:r>
              <w:t xml:space="preserve"> </w:t>
            </w:r>
            <w:r>
              <w:rPr>
                <w:rStyle w:val="VerbatimChar"/>
              </w:rPr>
              <w:t xml:space="preserve">INGESTAO_OK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INGESTAO_FALHA</w:t>
            </w:r>
            <w:r>
              <w:t xml:space="preserve"> </w:t>
            </w:r>
            <w:r>
              <w:t xml:space="preserve">na trilha de auditoria (Painel → Logs), com formato, páginas, tabelas, imagens, fragmentos, tempo e motivo da recusa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API do Docling:</w:t>
      </w:r>
      <w:r>
        <w:t xml:space="preserve"> </w:t>
      </w:r>
      <w:r>
        <w:t xml:space="preserve">os nomes usados no código foram conferidos no código-fonte do Docling 2.140.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Formatos MD e TXT:</w:t>
      </w:r>
      <w:r>
        <w:t xml:space="preserve"> </w:t>
      </w:r>
      <w:r>
        <w:t xml:space="preserve">passaram a ser aceitos explicitamente. Já são texto, então vão direto para a indexação.</w:t>
      </w:r>
    </w:p>
    <w:bookmarkEnd w:id="37"/>
    <w:bookmarkStart w:id="38" w:name="o-que-foi-medido-testes-feitos"/>
    <w:p>
      <w:pPr>
        <w:pStyle w:val="Heading3"/>
      </w:pPr>
      <w:r>
        <w:t xml:space="preserve">O que foi medido (testes feitos)</w:t>
      </w:r>
    </w:p>
    <w:tbl>
      <w:tblPr>
        <w:tblStyle w:val="Table"/>
        <w:tblW w:type="dxa" w:w="907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Sobrou arquivo?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 (400): formato não aceito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INGESTAO_FALHA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vazio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 (422): sem texto aproveitável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INGESTAO_FALHA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PDF sem Docling instalado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 (422): "Docling não instalado"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INGESTAO_FALHA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Arquivo acima de 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 (413)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INGESTAO_FALHA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Indexado (1 fragmento) e depois removido pela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INGESTAO_OK</w:t>
            </w:r>
          </w:p>
        </w:tc>
      </w:tr>
    </w:tbl>
    <w:bookmarkEnd w:id="38"/>
    <w:bookmarkStart w:id="39" w:name="o-que-falta-sessão-de-testes-1"/>
    <w:p>
      <w:pPr>
        <w:pStyle w:val="Heading3"/>
      </w:pPr>
      <w:r>
        <w:t xml:space="preserve">O que falta (sessão de testes)</w:t>
      </w:r>
    </w:p>
    <w:p>
      <w:pPr>
        <w:pStyle w:val="Compact"/>
        <w:numPr>
          <w:ilvl w:val="0"/>
          <w:numId w:val="1006"/>
        </w:numPr>
      </w:pPr>
      <w:r>
        <w:t xml:space="preserve">Instalar o Docling com</w:t>
      </w:r>
      <w:r>
        <w:t xml:space="preserve"> </w:t>
      </w:r>
      <w:r>
        <w:rPr>
          <w:rStyle w:val="VerbatimChar"/>
        </w:rPr>
        <w:t xml:space="preserve">pip install "docling[easyocr]"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Enviar um PDF real pela tela</w:t>
      </w:r>
      <w:r>
        <w:t xml:space="preserve"> </w:t>
      </w:r>
      <w:r>
        <w:rPr>
          <w:bCs/>
          <w:b/>
        </w:rPr>
        <w:t xml:space="preserve">Treinamento IA</w:t>
      </w:r>
      <w:r>
        <w:t xml:space="preserve"> </w:t>
      </w:r>
      <w:r>
        <w:t xml:space="preserve">e conferir no log as páginas, as tabelas e o tempo.</w:t>
      </w:r>
    </w:p>
    <w:bookmarkEnd w:id="39"/>
    <w:bookmarkStart w:id="40" w:name="texto-para-o-tcc-3"/>
    <w:p>
      <w:pPr>
        <w:pStyle w:val="Heading3"/>
      </w:pPr>
      <w:r>
        <w:t xml:space="preserve">Texto para o TCC</w:t>
      </w:r>
    </w:p>
    <w:p>
      <w:pPr>
        <w:pStyle w:val="FirstParagraph"/>
      </w:pPr>
      <w:r>
        <w:rPr>
          <w:bCs/>
          <w:b/>
        </w:rPr>
        <w:t xml:space="preserve">Seção 2.2 — substitui a marcação, logo após "Os demais limites do processamento são descritos a seguir.":</w:t>
      </w:r>
    </w:p>
    <w:p>
      <w:pPr>
        <w:pStyle w:val="BlockText"/>
      </w:pPr>
      <w:r>
        <w:t xml:space="preserve">(i) Documentos digitalizados: o reconhecimento óptico de caracteres (OCR) do Docling permanece ativo, com os idiomas português e inglês quando o motor EasyOCR está instalado; páginas que já contêm texto digital têm esse texto aproveitado diretamente. (ii) Tabelas: são reconhecidas pelo modelo de estrutura de tabelas do Docling e exportadas como tabelas Markdown, preservando linhas e colunas; contudo, a segmentação posterior por número de caracteres pode dividir uma tabela longa entre fragmentos. (iii) Imagens: não são descritas nem armazenadas; cada figura é substituída por um marcador no texto, de modo que o conteúdo exclusivamente visual, como diagramas e fotografias técnicas, não é recuperável pelo assistente. (iv) Metadados: são registrados apenas os metadados de origem — nome do arquivo, tipo, identificador (hash) e número de páginas —, além da data de envio e do administrador responsável; título, autor e data internos ao arquivo não são extraídos. (v) Falhas: documentos cuja conversão falha (inclusive por excederem 500 páginas), termina de forma parcial (por exemplo, ao exceder o tempo limite de 300 s) ou não produz texto aproveitável são recusados e não são indexados (RN14); o arquivo enviado e qualquer resultado intermediário são descartados, e o administrador recebe o motivo da recusa. (vi) Registro: cada envio, aceito ou recusado, é registrado na trilha de auditoria do sistema (eventos INGESTAO_OK e INGESTAO_FALHA), com formato, páginas, tabelas, imagens, número de fragmentos, tempo de conversão e, em caso de recusa, o motivo, consultável pelo administrador no painel de logs (RF30). Além de PDF e DOCX, o sistema aceita arquivos MD e TXT, que já estão em texto e seguem diretamente para a indexação.</w:t>
      </w:r>
    </w:p>
    <w:p>
      <w:pPr>
        <w:pStyle w:val="FirstParagraph"/>
      </w:pPr>
      <w:r>
        <w:rPr>
          <w:bCs/>
          <w:b/>
        </w:rPr>
        <w:t xml:space="preserve">Nota (não colar):</w:t>
      </w:r>
      <w:r>
        <w:t xml:space="preserve"> </w:t>
      </w:r>
      <w:r>
        <w:t xml:space="preserve">a Seção 1.6.1 fala só em PDF e DOCX. A última frase do texto acima resolve isso; se preferirem, ajustar a 1.6.1.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70746458ae6c328d7467e7b7bf3c4b59e3f07a0"/>
    <w:p>
      <w:pPr>
        <w:pStyle w:val="Heading2"/>
      </w:pPr>
      <w:r>
        <w:t xml:space="preserve">Task 5 — Justificativa do chunk de 2.000 caracteres (p.17)</w:t>
      </w:r>
    </w:p>
    <w:p>
      <w:pPr>
        <w:pStyle w:val="FirstParagraph"/>
      </w:pPr>
      <w:r>
        <w:rPr>
          <w:bCs/>
          <w:b/>
        </w:rPr>
        <w:t xml:space="preserve">Pedido:</w:t>
      </w:r>
      <w:r>
        <w:t xml:space="preserve"> </w:t>
      </w:r>
      <w:r>
        <w:t xml:space="preserve">"p.17: Justificar o chunk de 2.000 caracteres com dados de simulação ou citação. (SS21)"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parcial. A citação e a parte da simulação que não depende do modelo estão prontas. A taxa de acerto da busca e a contagem de tokens dependem da sessão.</w:t>
      </w:r>
    </w:p>
    <w:bookmarkStart w:id="42" w:name="o-que-foi-feito-4"/>
    <w:p>
      <w:pPr>
        <w:pStyle w:val="Heading3"/>
      </w:pPr>
      <w:r>
        <w:t xml:space="preserve">O que foi feito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Simulação:</w:t>
      </w:r>
      <w:r>
        <w:t xml:space="preserve"> </w:t>
      </w:r>
      <w:r>
        <w:t xml:space="preserve">script</w:t>
      </w:r>
      <w:r>
        <w:t xml:space="preserve"> </w:t>
      </w:r>
      <w:r>
        <w:rPr>
          <w:rStyle w:val="VerbatimChar"/>
        </w:rPr>
        <w:t xml:space="preserve">npm run simular-chunk</w:t>
      </w:r>
      <w:r>
        <w:t xml:space="preserve">. Ele corta o acervo em 500, 1.000, 1.500, 2.000 e 3.000 caracteres, do mesmo jeito que o sistema faz, e faz</w:t>
      </w:r>
      <w:r>
        <w:t xml:space="preserve"> </w:t>
      </w:r>
      <w:r>
        <w:rPr>
          <w:bCs/>
          <w:b/>
        </w:rPr>
        <w:t xml:space="preserve">20 perguntas</w:t>
      </w:r>
      <w:r>
        <w:t xml:space="preserve"> </w:t>
      </w:r>
      <w:r>
        <w:t xml:space="preserve">típicas de usuários (</w:t>
      </w:r>
      <w:r>
        <w:rPr>
          <w:rStyle w:val="VerbatimChar"/>
        </w:rPr>
        <w:t xml:space="preserve">backend/scripts/perguntas-chunk.json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Gabarito:</w:t>
      </w:r>
      <w:r>
        <w:t xml:space="preserve"> </w:t>
      </w:r>
      <w:r>
        <w:t xml:space="preserve">cada pergunta traz o trecho exato do documento que a responde.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Métricas:</w:t>
      </w:r>
    </w:p>
    <w:p>
      <w:pPr>
        <w:pStyle w:val="Compact"/>
        <w:numPr>
          <w:ilvl w:val="1"/>
          <w:numId w:val="1008"/>
        </w:numPr>
      </w:pPr>
      <w:r>
        <w:t xml:space="preserve">% de respostas cortadas ao meio pelo corte fixo;</w:t>
      </w:r>
    </w:p>
    <w:p>
      <w:pPr>
        <w:pStyle w:val="Compact"/>
        <w:numPr>
          <w:ilvl w:val="1"/>
          <w:numId w:val="1008"/>
        </w:numPr>
      </w:pPr>
      <w:r>
        <w:t xml:space="preserve">acerto na 1ª posição e entre os 4 fragmentos recuperados;</w:t>
      </w:r>
    </w:p>
    <w:p>
      <w:pPr>
        <w:pStyle w:val="Compact"/>
        <w:numPr>
          <w:ilvl w:val="1"/>
          <w:numId w:val="1008"/>
        </w:numPr>
      </w:pPr>
      <w:r>
        <w:t xml:space="preserve">MRR;</w:t>
      </w:r>
    </w:p>
    <w:p>
      <w:pPr>
        <w:pStyle w:val="Compact"/>
        <w:numPr>
          <w:ilvl w:val="1"/>
          <w:numId w:val="1008"/>
        </w:numPr>
      </w:pPr>
      <w:r>
        <w:t xml:space="preserve">caracteres enviados ao LLM;</w:t>
      </w:r>
    </w:p>
    <w:p>
      <w:pPr>
        <w:pStyle w:val="Compact"/>
        <w:numPr>
          <w:ilvl w:val="1"/>
          <w:numId w:val="1008"/>
        </w:numPr>
      </w:pPr>
      <w:r>
        <w:t xml:space="preserve">tokens por fragmento;</w:t>
      </w:r>
    </w:p>
    <w:p>
      <w:pPr>
        <w:pStyle w:val="Compact"/>
        <w:numPr>
          <w:ilvl w:val="1"/>
          <w:numId w:val="1008"/>
        </w:numPr>
      </w:pPr>
      <w:r>
        <w:t xml:space="preserve">% de fragmentos acima de 256 tokens.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Citação:</w:t>
      </w:r>
      <w:r>
        <w:t xml:space="preserve"> </w:t>
      </w:r>
      <w:r>
        <w:t xml:space="preserve">Wang et al. (EMNLP 2024), Tabela 3. Entre fragmentos de 128 a 2.048 tokens, o de 512 teve a melhor fidelidade (97,59%) e a melhor relevância (97,41%). Com 2.048 tokens, a fidelidade caiu para 80,37%.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Ponto de atenção:</w:t>
      </w:r>
      <w:r>
        <w:t xml:space="preserve"> </w:t>
      </w:r>
      <w:r>
        <w:t xml:space="preserve">o cartão do modelo all-MiniLM-L6-v2 informa que ele corta, por padrão, entradas acima de 256</w:t>
      </w:r>
      <w:r>
        <w:t xml:space="preserve"> </w:t>
      </w:r>
      <w:r>
        <w:rPr>
          <w:iCs/>
          <w:i/>
        </w:rPr>
        <w:t xml:space="preserve">word pieces</w:t>
      </w:r>
      <w:r>
        <w:t xml:space="preserve">. Um fragmento de 2.000 caracteres provavelmente passa disso, então o final dele pesa pouco ou nada na busca. Isso entrou no texto como limitação.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Constante única:</w:t>
      </w:r>
      <w:r>
        <w:t xml:space="preserve"> </w:t>
      </w:r>
      <w:r>
        <w:t xml:space="preserve">o tamanho do chunk virou uma constante só no código (</w:t>
      </w:r>
      <w:r>
        <w:rPr>
          <w:rStyle w:val="VerbatimChar"/>
        </w:rPr>
        <w:t xml:space="preserve">CHUNK_SIZE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backend/rag.js</w:t>
      </w:r>
      <w:r>
        <w:t xml:space="preserve">).</w:t>
      </w:r>
    </w:p>
    <w:bookmarkEnd w:id="42"/>
    <w:bookmarkStart w:id="43" w:name="o-que-foi-medido-3"/>
    <w:p>
      <w:pPr>
        <w:pStyle w:val="Heading3"/>
      </w:pPr>
      <w:r>
        <w:t xml:space="preserve">O que foi medido</w:t>
      </w:r>
    </w:p>
    <w:p>
      <w:pPr>
        <w:pStyle w:val="FirstParagraph"/>
      </w:pPr>
      <w:r>
        <w:t xml:space="preserve">Parte que não depende do modelo nem do hardware (</w:t>
      </w:r>
      <w:r>
        <w:rPr>
          <w:rStyle w:val="VerbatimChar"/>
        </w:rPr>
        <w:t xml:space="preserve">npm run simular-chunk -- --sem-modelo</w:t>
      </w:r>
      <w:r>
        <w:t xml:space="preserve">, 20 perguntas, acervo do estudo de caso):</w:t>
      </w:r>
    </w:p>
    <w:tbl>
      <w:tblPr>
        <w:tblStyle w:val="Table"/>
        <w:tblW w:type="dxa" w:w="907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Tamanho (caracteres)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Fragmentos gerados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Respostas cortadas ao meio (de 20)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Leitura:</w:t>
      </w:r>
    </w:p>
    <w:p>
      <w:pPr>
        <w:pStyle w:val="Compact"/>
        <w:numPr>
          <w:ilvl w:val="0"/>
          <w:numId w:val="1009"/>
        </w:numPr>
      </w:pPr>
      <w:r>
        <w:t xml:space="preserve">A partir de 1.000 caracteres, nenhuma resposta é dividida entre fragmentos.</w:t>
      </w:r>
    </w:p>
    <w:p>
      <w:pPr>
        <w:pStyle w:val="Compact"/>
        <w:numPr>
          <w:ilvl w:val="0"/>
          <w:numId w:val="1009"/>
        </w:numPr>
      </w:pPr>
      <w:r>
        <w:t xml:space="preserve">Abaixo disso, o corte fixo começa a separar a resposta da pergunta.</w:t>
      </w:r>
    </w:p>
    <w:p>
      <w:pPr>
        <w:pStyle w:val="Compact"/>
        <w:numPr>
          <w:ilvl w:val="0"/>
          <w:numId w:val="1009"/>
        </w:numPr>
      </w:pPr>
      <w:r>
        <w:t xml:space="preserve">2.000 caracteres preserva todas as respostas com apenas 5 fragmentos.</w:t>
      </w:r>
    </w:p>
    <w:bookmarkEnd w:id="43"/>
    <w:bookmarkStart w:id="44" w:name="o-que-falta-sessão-de-testes-2"/>
    <w:p>
      <w:pPr>
        <w:pStyle w:val="Heading3"/>
      </w:pPr>
      <w:r>
        <w:t xml:space="preserve">O que falta (sessão de testes)</w:t>
      </w:r>
    </w:p>
    <w:p>
      <w:pPr>
        <w:pStyle w:val="Compact"/>
        <w:numPr>
          <w:ilvl w:val="0"/>
          <w:numId w:val="1010"/>
        </w:numPr>
      </w:pPr>
      <w:r>
        <w:t xml:space="preserve">Rodar</w:t>
      </w:r>
      <w:r>
        <w:t xml:space="preserve"> </w:t>
      </w:r>
      <w:r>
        <w:rPr>
          <w:rStyle w:val="VerbatimChar"/>
        </w:rPr>
        <w:t xml:space="preserve">npm run simular-chunk</w:t>
      </w:r>
      <w:r>
        <w:t xml:space="preserve"> </w:t>
      </w:r>
      <w:r>
        <w:t xml:space="preserve">no PC (o modelo de embeddings baixa sozinho na primeira vez).</w:t>
      </w:r>
    </w:p>
    <w:p>
      <w:pPr>
        <w:pStyle w:val="Compact"/>
        <w:numPr>
          <w:ilvl w:val="0"/>
          <w:numId w:val="1010"/>
        </w:numPr>
      </w:pPr>
      <w:r>
        <w:t xml:space="preserve">Copiar as colunas de acerto, MRR, contexto e tokens.</w:t>
      </w:r>
    </w:p>
    <w:p>
      <w:pPr>
        <w:pStyle w:val="Compact"/>
        <w:numPr>
          <w:ilvl w:val="0"/>
          <w:numId w:val="1010"/>
        </w:numPr>
      </w:pPr>
      <w:r>
        <w:rPr>
          <w:bCs/>
          <w:b/>
        </w:rPr>
        <w:t xml:space="preserve">Se</w:t>
      </w:r>
      <w:r>
        <w:t xml:space="preserve"> </w:t>
      </w:r>
      <w:r>
        <w:t xml:space="preserve">outro tamanho sair claramente melhor que 2.000, o texto muda de "justificativa" para "limitação + trabalho futuro". Mudar o valor no sistema exigiria refazer as medições.</w:t>
      </w:r>
    </w:p>
    <w:bookmarkEnd w:id="44"/>
    <w:bookmarkStart w:id="46" w:name="texto-para-o-tcc-4"/>
    <w:p>
      <w:pPr>
        <w:pStyle w:val="Heading3"/>
      </w:pPr>
      <w:r>
        <w:t xml:space="preserve">Texto para o TCC</w:t>
      </w:r>
    </w:p>
    <w:p>
      <w:pPr>
        <w:pStyle w:val="FirstParagraph"/>
      </w:pPr>
      <w:r>
        <w:rPr>
          <w:bCs/>
          <w:b/>
        </w:rPr>
        <w:t xml:space="preserve">Seção 2.2 — substitui a marcação:</w:t>
      </w:r>
    </w:p>
    <w:p>
      <w:pPr>
        <w:pStyle w:val="BlockText"/>
      </w:pPr>
      <w:r>
        <w:t xml:space="preserve">Para verificar essa escolha, foi realizada uma simulação com o próprio acervo do estudo de caso, comparando fragmentos de 500, 1.000, 1.500, 2.000 e 3.000 caracteres. Para cada tamanho, o acervo foi segmentado da mesma forma que no sistema, e vinte perguntas típicas de usuários, cada uma associada ao trecho do documento que a responde, foram submetidas à recuperação por similaridade de cosseno com os quatro fragmentos mais próximos. Avaliaram-se a proporção de respostas divididas entre dois fragmentos pelo corte fixo, a taxa de acerto (presença do trecho correto entre os quatro fragmentos recuperados) e o volume de texto enviado ao modelo de linguagem. Os resultados são apresentados na Tabela X.</w:t>
      </w:r>
    </w:p>
    <w:p>
      <w:pPr>
        <w:pStyle w:val="FirstParagraph"/>
      </w:pPr>
      <w:r>
        <w:rPr>
          <w:bCs/>
          <w:b/>
        </w:rPr>
        <w:t xml:space="preserve">Tabela X – Simulação do tamanho de fragmento</w:t>
      </w:r>
    </w:p>
    <w:tbl>
      <w:tblPr>
        <w:tblStyle w:val="Table"/>
        <w:tblW w:type="dxa" w:w="907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Tamanho (caracteres)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Respostas cortadas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Acerto no 1º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Acerto entre os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enviado ao LLM (caracteres)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highlight w:val="yellow"/>
              </w:rPr>
              <w:t xml:space="preserve">[MEDIR]</w:t>
            </w:r>
          </w:p>
        </w:tc>
      </w:tr>
    </w:tbl>
    <w:p>
      <w:pPr>
        <w:pStyle w:val="BodyText"/>
      </w:pPr>
      <w:r>
        <w:t xml:space="preserve">Fonte: os autores (2026).</w:t>
      </w:r>
    </w:p>
    <w:p>
      <w:pPr>
        <w:pStyle w:val="BlockText"/>
      </w:pPr>
      <w:r>
        <w:t xml:space="preserve">Fragmentos a partir de 1.000 caracteres preservaram integralmente todos os trechos de resposta, ao passo que, abaixo desse tamanho, parte das respostas foi dividida entre fragmentos — 5% em 500 e 20% em 250 caracteres.</w:t>
      </w:r>
      <w:r>
        <w:t xml:space="preserve"> </w:t>
      </w:r>
      <w:r>
        <w:rPr>
          <w:rStyle w:val="VerbatimChar"/>
          <w:b/>
          <w:highlight w:val="yellow"/>
        </w:rPr>
        <w:t xml:space="preserve">[COMPLETAR COM A LEITURA DO ACERTO: ex.: "O tamanho de 2.000 caracteres obteve acerto de X% entre os quatro fragmentos, ..."]</w:t>
      </w:r>
      <w:r>
        <w:t xml:space="preserve"> </w:t>
      </w:r>
      <w:r>
        <w:t xml:space="preserve">O resultado é coerente com a avaliação comparativa de Wang et al. (2024), em que fragmentos de 512 tokens obtiveram os melhores índices de fidelidade (97,59%) e de relevância (97,41%) entre tamanhos de 128 a 2.048 tokens, enquanto o maior tamanho testado reduziu a fidelidade para 80,37%; em português, 2.000 caracteres correspondem a aproximadamente</w:t>
      </w:r>
      <w:r>
        <w:t xml:space="preserve"> </w:t>
      </w:r>
      <w:r>
        <w:rPr>
          <w:rStyle w:val="VerbatimChar"/>
          <w:b/>
          <w:highlight w:val="yellow"/>
        </w:rPr>
        <w:t xml:space="preserve">[MEDIR NA SESSÃO]</w:t>
      </w:r>
      <w:r>
        <w:t xml:space="preserve"> </w:t>
      </w:r>
      <w:r>
        <w:t xml:space="preserve">tokens. Ressalta-se, contudo, que o modelo all-MiniLM-L6-v2 trunca, por padrão, entradas com mais de 256</w:t>
      </w:r>
      <w:r>
        <w:t xml:space="preserve"> </w:t>
      </w:r>
      <w:r>
        <w:rPr>
          <w:iCs/>
          <w:i/>
        </w:rPr>
        <w:t xml:space="preserve">word pieces</w:t>
      </w:r>
      <w:r>
        <w:t xml:space="preserve"> </w:t>
      </w:r>
      <w:r>
        <w:t xml:space="preserve">(HUGGING FACE, [2026]); na simulação,</w:t>
      </w:r>
      <w:r>
        <w:t xml:space="preserve"> </w:t>
      </w:r>
      <w:r>
        <w:rPr>
          <w:rStyle w:val="VerbatimChar"/>
          <w:b/>
          <w:highlight w:val="yellow"/>
        </w:rPr>
        <w:t xml:space="preserve">[MEDIR NA SESSÃO]</w:t>
      </w:r>
      <w:r>
        <w:t xml:space="preserve">% dos fragmentos de 2.000 caracteres excederam esse limite, de modo que o final desses fragmentos contribui pouco ou nada para sua representação vetorial. Como o acervo do estudo de caso é pequeno (7.593 caracteres), esses resultados indicam a adequação do tamanho adotado nas condições avaliadas, mas não se generalizam para acervos maiores.</w:t>
      </w:r>
    </w:p>
    <w:p>
      <w:pPr>
        <w:pStyle w:val="FirstParagraph"/>
      </w:pPr>
      <w:r>
        <w:rPr>
          <w:bCs/>
          <w:b/>
        </w:rPr>
        <w:t xml:space="preserve">Referência a incluir:</w:t>
      </w:r>
    </w:p>
    <w:p>
      <w:pPr>
        <w:pStyle w:val="BlockText"/>
      </w:pPr>
      <w:r>
        <w:t xml:space="preserve">WANG, X. et al. Searching for Best Practices in Retrieval-Augmented Generation. In: CONFERENCE ON EMPIRICAL METHODS IN NATURAL LANGUAGE PROCESSING, 2024, Miami.</w:t>
      </w:r>
      <w:r>
        <w:t xml:space="preserve"> </w:t>
      </w:r>
      <w:r>
        <w:rPr>
          <w:bCs/>
          <w:b/>
        </w:rPr>
        <w:t xml:space="preserve">Proceedings [...]</w:t>
      </w:r>
      <w:r>
        <w:t xml:space="preserve">. Miami: Association for Computational Linguistics, 2024. Disponível em:</w:t>
      </w:r>
      <w:r>
        <w:t xml:space="preserve"> </w:t>
      </w:r>
      <w:hyperlink r:id="rId45">
        <w:r>
          <w:rPr>
            <w:rStyle w:val="Hyperlink"/>
          </w:rPr>
          <w:t xml:space="preserve">https://aclanthology.org/2024.emnlp-main.981/</w:t>
        </w:r>
      </w:hyperlink>
      <w:r>
        <w:t xml:space="preserve">. Acesso em: 20 out. 2026.</w:t>
      </w:r>
    </w:p>
    <w:p>
      <w:pPr>
        <w:pStyle w:val="FirstParagraph"/>
      </w:pPr>
      <w:r>
        <w:rPr>
          <w:bCs/>
          <w:b/>
        </w:rPr>
        <w:t xml:space="preserve">Nota (não colar):</w:t>
      </w:r>
      <w:r>
        <w:t xml:space="preserve"> </w:t>
      </w:r>
      <w:r>
        <w:t xml:space="preserve">a citação HUGGING FACE, [2026] já existe no TCC. Confirmar que ela aponta para o cartão do modelo</w:t>
      </w:r>
      <w:r>
        <w:t xml:space="preserve"> </w:t>
      </w:r>
      <w:r>
        <w:rPr>
          <w:rStyle w:val="VerbatimChar"/>
        </w:rPr>
        <w:t xml:space="preserve">sentence-transformers/all-MiniLM-L6-v2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a4e83ec737a1c925175e507dedf718f4fc56652"/>
    <w:p>
      <w:pPr>
        <w:pStyle w:val="Heading2"/>
      </w:pPr>
      <w:r>
        <w:t xml:space="preserve">Task 6 — Periodicidade e local do backup (p.30)</w:t>
      </w:r>
    </w:p>
    <w:p>
      <w:pPr>
        <w:pStyle w:val="FirstParagraph"/>
      </w:pPr>
      <w:r>
        <w:rPr>
          <w:bCs/>
          <w:b/>
        </w:rPr>
        <w:t xml:space="preserve">Pedido:</w:t>
      </w:r>
      <w:r>
        <w:t xml:space="preserve"> </w:t>
      </w:r>
      <w:r>
        <w:t xml:space="preserve">"p.30: Informar a periodicidade do backup e o local de armazenamento das cópias. (SS75)"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concluída. Falta o Fabrício validar com os prazos da LGPD (p.31), como pede a divisão de tarefas.</w:t>
      </w:r>
    </w:p>
    <w:bookmarkStart w:id="48" w:name="o-que-foi-feito-5"/>
    <w:p>
      <w:pPr>
        <w:pStyle w:val="Heading3"/>
      </w:pPr>
      <w:r>
        <w:t xml:space="preserve">O que foi feito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Política definida:</w:t>
      </w:r>
    </w:p>
    <w:p>
      <w:pPr>
        <w:pStyle w:val="Compact"/>
        <w:numPr>
          <w:ilvl w:val="1"/>
          <w:numId w:val="1012"/>
        </w:numPr>
      </w:pPr>
      <w:r>
        <w:rPr>
          <w:bCs/>
          <w:b/>
        </w:rPr>
        <w:t xml:space="preserve">periodicidade:</w:t>
      </w:r>
      <w:r>
        <w:t xml:space="preserve"> </w:t>
      </w:r>
      <w:r>
        <w:t xml:space="preserve">diária;</w:t>
      </w:r>
    </w:p>
    <w:p>
      <w:pPr>
        <w:pStyle w:val="Compact"/>
        <w:numPr>
          <w:ilvl w:val="1"/>
          <w:numId w:val="1012"/>
        </w:numPr>
      </w:pPr>
      <w:r>
        <w:rPr>
          <w:bCs/>
          <w:b/>
        </w:rPr>
        <w:t xml:space="preserve">retenção:</w:t>
      </w:r>
      <w:r>
        <w:t xml:space="preserve"> </w:t>
      </w:r>
      <w:r>
        <w:t xml:space="preserve">mantém as 7 cópias diárias e as 4 semanais mais recentes;</w:t>
      </w:r>
    </w:p>
    <w:p>
      <w:pPr>
        <w:pStyle w:val="Compact"/>
        <w:numPr>
          <w:ilvl w:val="1"/>
          <w:numId w:val="1012"/>
        </w:numPr>
      </w:pPr>
      <w:r>
        <w:rPr>
          <w:bCs/>
          <w:b/>
        </w:rPr>
        <w:t xml:space="preserve">local:</w:t>
      </w:r>
      <w:r>
        <w:t xml:space="preserve"> </w:t>
      </w:r>
      <w:r>
        <w:t xml:space="preserve">pasta local fora da aplicação (</w:t>
      </w:r>
      <w:r>
        <w:rPr>
          <w:rStyle w:val="VerbatimChar"/>
        </w:rPr>
        <w:t xml:space="preserve">academai-backups</w:t>
      </w:r>
      <w:r>
        <w:t xml:space="preserve"> </w:t>
      </w:r>
      <w:r>
        <w:t xml:space="preserve">na pasta do usuário) e uma cópia semanal em outro disco ou servidor.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Script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npm run backup</w:t>
      </w:r>
      <w:r>
        <w:rPr>
          <w:bCs/>
          <w:b/>
        </w:rP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copia o banco com</w:t>
      </w:r>
      <w:r>
        <w:t xml:space="preserve"> </w:t>
      </w:r>
      <w:r>
        <w:rPr>
          <w:rStyle w:val="VerbatimChar"/>
        </w:rPr>
        <w:t xml:space="preserve">VACUUM INTO</w:t>
      </w:r>
      <w:r>
        <w:t xml:space="preserve">, que gera uma cópia íntegra mesmo com o sistema rodando, como exige o RNF24;</w:t>
      </w:r>
    </w:p>
    <w:p>
      <w:pPr>
        <w:pStyle w:val="Compact"/>
        <w:numPr>
          <w:ilvl w:val="1"/>
          <w:numId w:val="1013"/>
        </w:numPr>
      </w:pPr>
      <w:r>
        <w:t xml:space="preserve">confere a cópia com</w:t>
      </w:r>
      <w:r>
        <w:t xml:space="preserve"> </w:t>
      </w:r>
      <w:r>
        <w:rPr>
          <w:rStyle w:val="VerbatimChar"/>
        </w:rPr>
        <w:t xml:space="preserve">PRAGMA integrity_check</w:t>
      </w:r>
      <w:r>
        <w:t xml:space="preserve">;</w:t>
      </w:r>
    </w:p>
    <w:p>
      <w:pPr>
        <w:pStyle w:val="Compact"/>
        <w:numPr>
          <w:ilvl w:val="1"/>
          <w:numId w:val="1013"/>
        </w:numPr>
      </w:pPr>
      <w:r>
        <w:t xml:space="preserve">copia também o índice do RAG e os documentos;</w:t>
      </w:r>
    </w:p>
    <w:p>
      <w:pPr>
        <w:pStyle w:val="Compact"/>
        <w:numPr>
          <w:ilvl w:val="1"/>
          <w:numId w:val="1013"/>
        </w:numPr>
      </w:pPr>
      <w:r>
        <w:t xml:space="preserve">grava um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com o SHA-256 de cada arquivo;</w:t>
      </w:r>
    </w:p>
    <w:p>
      <w:pPr>
        <w:pStyle w:val="Compact"/>
        <w:numPr>
          <w:ilvl w:val="1"/>
          <w:numId w:val="1013"/>
        </w:numPr>
      </w:pPr>
      <w:r>
        <w:t xml:space="preserve">apaga as cópias mais antigas.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Guia (</w:t>
      </w:r>
      <w:r>
        <w:rPr>
          <w:rStyle w:val="VerbatimChar"/>
          <w:bCs/>
          <w:b/>
        </w:rPr>
        <w:t xml:space="preserve">INICIA_PROJETO.md</w:t>
      </w:r>
      <w:r>
        <w:rPr>
          <w:bCs/>
          <w:b/>
        </w:rPr>
        <w:t xml:space="preserve">):</w:t>
      </w:r>
      <w:r>
        <w:t xml:space="preserve"> </w:t>
      </w:r>
      <w:r>
        <w:t xml:space="preserve">instruções para agendar a execução diária no Windows (Agendador de Tarefas) e no Linux/macOS (cron), e para restaurar.</w:t>
      </w:r>
    </w:p>
    <w:bookmarkEnd w:id="48"/>
    <w:bookmarkStart w:id="49" w:name="o-que-foi-medido-testes-feitos-1"/>
    <w:p>
      <w:pPr>
        <w:pStyle w:val="Heading3"/>
      </w:pPr>
      <w:r>
        <w:t xml:space="preserve">O que foi medido (testes feitos)</w:t>
      </w:r>
    </w:p>
    <w:tbl>
      <w:tblPr>
        <w:tblStyle w:val="Table"/>
        <w:tblW w:type="dxa" w:w="907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 execuções seguidas, com limite de 2 cópias diárias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cópia mais antiga foi apagada; ficaram as 2 mais recentes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Cópia 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 uma vez na semana (2026-S43) e não repetida nas execuções seguintes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Cópia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Criada junto com a semanal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Integridade do banco copiado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integrity_check = ok</w:t>
            </w:r>
            <w:r>
              <w:t xml:space="preserve">, com os 6 usuários presentes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Destino inválido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script para com erro e código de saída 1 (o agendador registra a falha)</w:t>
            </w:r>
          </w:p>
        </w:tc>
      </w:tr>
    </w:tbl>
    <w:bookmarkEnd w:id="49"/>
    <w:bookmarkStart w:id="50" w:name="o-que-falta-2"/>
    <w:p>
      <w:pPr>
        <w:pStyle w:val="Heading3"/>
      </w:pPr>
      <w:r>
        <w:t xml:space="preserve">O que falta</w:t>
      </w:r>
    </w:p>
    <w:p>
      <w:pPr>
        <w:pStyle w:val="FirstParagraph"/>
      </w:pPr>
      <w:r>
        <w:t xml:space="preserve">Validação do Fabrício (LGPD, p.31):</w:t>
      </w:r>
    </w:p>
    <w:p>
      <w:pPr>
        <w:pStyle w:val="Compact"/>
        <w:numPr>
          <w:ilvl w:val="0"/>
          <w:numId w:val="1014"/>
        </w:numPr>
      </w:pPr>
      <w:r>
        <w:t xml:space="preserve">Com 7 diárias + 4 semanais, um dado apagado no sistema continua nos backups por até</w:t>
      </w:r>
      <w:r>
        <w:t xml:space="preserve"> </w:t>
      </w:r>
      <w:r>
        <w:rPr>
          <w:bCs/>
          <w:b/>
        </w:rPr>
        <w:t xml:space="preserve">cerca de 5 semanas</w:t>
      </w:r>
      <w:r>
        <w:t xml:space="preserve">. O prazo de retenção (RNF27) precisa levar isso em conta.</w:t>
      </w:r>
    </w:p>
    <w:p>
      <w:pPr>
        <w:pStyle w:val="Compact"/>
        <w:numPr>
          <w:ilvl w:val="0"/>
          <w:numId w:val="1014"/>
        </w:numPr>
      </w:pPr>
      <w:r>
        <w:t xml:space="preserve">As cópias contêm dados pessoais, então o local externo precisa de acesso restrito.</w:t>
      </w:r>
    </w:p>
    <w:p>
      <w:pPr>
        <w:pStyle w:val="Compact"/>
        <w:numPr>
          <w:ilvl w:val="0"/>
          <w:numId w:val="1014"/>
        </w:numPr>
      </w:pPr>
      <w:r>
        <w:t xml:space="preserve">O backup não é criptografado. Se o grupo quiser, isso vira uma frase de limitação.</w:t>
      </w:r>
    </w:p>
    <w:bookmarkEnd w:id="50"/>
    <w:bookmarkStart w:id="51" w:name="texto-para-o-tcc-5"/>
    <w:p>
      <w:pPr>
        <w:pStyle w:val="Heading3"/>
      </w:pPr>
      <w:r>
        <w:t xml:space="preserve">Texto para o TCC</w:t>
      </w:r>
    </w:p>
    <w:p>
      <w:pPr>
        <w:pStyle w:val="FirstParagraph"/>
      </w:pPr>
      <w:r>
        <w:rPr>
          <w:bCs/>
          <w:b/>
        </w:rPr>
        <w:t xml:space="preserve">Seção 3.3.6 — RNF24 (substitui a marcação no fim do requisito):</w:t>
      </w:r>
    </w:p>
    <w:p>
      <w:pPr>
        <w:pStyle w:val="BlockText"/>
      </w:pPr>
      <w:r>
        <w:t xml:space="preserve">O backup é diário e inclui o banco de dados, o índice vetorial (</w:t>
      </w:r>
      <w:r>
        <w:rPr>
          <w:rStyle w:val="VerbatimChar"/>
        </w:rPr>
        <w:t xml:space="preserve">vector_cache.json</w:t>
      </w:r>
      <w:r>
        <w:t xml:space="preserve">) e o acervo de documentos convertidos. A cópia do banco é feita pelo comando</w:t>
      </w:r>
      <w:r>
        <w:t xml:space="preserve"> </w:t>
      </w:r>
      <w:r>
        <w:rPr>
          <w:rStyle w:val="VerbatimChar"/>
        </w:rPr>
        <w:t xml:space="preserve">VACUUM INTO</w:t>
      </w:r>
      <w:r>
        <w:t xml:space="preserve"> </w:t>
      </w:r>
      <w:r>
        <w:t xml:space="preserve">do SQLite, que gera uma cópia consistente com o serviço em execução, e é verificada por</w:t>
      </w:r>
      <w:r>
        <w:t xml:space="preserve"> </w:t>
      </w:r>
      <w:r>
        <w:rPr>
          <w:rStyle w:val="VerbatimChar"/>
        </w:rPr>
        <w:t xml:space="preserve">PRAGMA integrity_check</w:t>
      </w:r>
      <w:r>
        <w:t xml:space="preserve">; cada cópia registra o resumo criptográfico (SHA-256) de seus arquivos. São mantidas as sete cópias diárias mais recentes e quatro cópias semanais em diretório local do servidor, fora da pasta da aplicação, e a cópia semanal é replicada para uma mídia ou servidor de armazenamento distinto da máquina que hospeda o sistema, definido pela instituição. O procedimento é executado pelo comando</w:t>
      </w:r>
      <w:r>
        <w:t xml:space="preserve"> </w:t>
      </w:r>
      <w:r>
        <w:rPr>
          <w:rStyle w:val="VerbatimChar"/>
        </w:rPr>
        <w:t xml:space="preserve">npm run backup</w:t>
      </w:r>
      <w:r>
        <w:t xml:space="preserve">, agendado no sistema operacional, e a restauração consiste em substituir os arquivos com o serviço parado.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task-7--demanda-mínima-de-referência-p62"/>
    <w:p>
      <w:pPr>
        <w:pStyle w:val="Heading2"/>
      </w:pPr>
      <w:r>
        <w:t xml:space="preserve">Task 7 — Demanda mínima de referência (p.62)</w:t>
      </w:r>
    </w:p>
    <w:p>
      <w:pPr>
        <w:pStyle w:val="FirstParagraph"/>
      </w:pPr>
      <w:r>
        <w:rPr>
          <w:bCs/>
          <w:b/>
        </w:rPr>
        <w:t xml:space="preserve">Pedido:</w:t>
      </w:r>
      <w:r>
        <w:t xml:space="preserve"> </w:t>
      </w:r>
      <w:r>
        <w:t xml:space="preserve">"p.62: Estimar a demanda mínima de referência (10, 100, 1.000 ou 10.000 usuários, e simultâneos) e o hardware correspondente. (SS39)"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estimativa pronta. Recalcular com o tempo de resposta medido na sessão.</w:t>
      </w:r>
    </w:p>
    <w:bookmarkStart w:id="53" w:name="o-que-foi-feito-6"/>
    <w:p>
      <w:pPr>
        <w:pStyle w:val="Heading3"/>
      </w:pPr>
      <w:r>
        <w:t xml:space="preserve">O que foi feito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Base do cálculo:</w:t>
      </w:r>
      <w:r>
        <w:t xml:space="preserve"> </w:t>
      </w:r>
      <w:r>
        <w:t xml:space="preserve">o protótipo nunca foi testado com carga simultânea, então a demanda foi</w:t>
      </w:r>
      <w:r>
        <w:t xml:space="preserve"> </w:t>
      </w:r>
      <w:r>
        <w:rPr>
          <w:bCs/>
          <w:b/>
        </w:rPr>
        <w:t xml:space="preserve">estimada por cálculo de fila</w:t>
      </w:r>
      <w:r>
        <w:t xml:space="preserve"> </w:t>
      </w:r>
      <w:r>
        <w:t xml:space="preserve">(modelo M/M/1). O ponto de partida é o tempo mediano de resposta completa da Tabela 1 (1,65 s), já que o Ollama, na configuração padrão, responde uma pergunta por vez.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Hipóteses (declaradas no texto):</w:t>
      </w:r>
    </w:p>
    <w:p>
      <w:pPr>
        <w:pStyle w:val="Compact"/>
        <w:numPr>
          <w:ilvl w:val="1"/>
          <w:numId w:val="1016"/>
        </w:numPr>
      </w:pPr>
      <w:r>
        <w:t xml:space="preserve">cada usuário em conversa faz cerca de 1 pergunta por minuto;</w:t>
      </w:r>
    </w:p>
    <w:p>
      <w:pPr>
        <w:pStyle w:val="Compact"/>
        <w:numPr>
          <w:ilvl w:val="1"/>
          <w:numId w:val="1016"/>
        </w:numPr>
      </w:pPr>
      <w:r>
        <w:t xml:space="preserve">a fração de usuários conversando ao mesmo tempo cai com o tamanho da base: 20%, 10%, 5% e 2,5%.</w:t>
      </w:r>
    </w:p>
    <w:p>
      <w:pPr>
        <w:pStyle w:val="Compact"/>
        <w:numPr>
          <w:ilvl w:val="0"/>
          <w:numId w:val="1015"/>
        </w:numPr>
      </w:pPr>
      <w:r>
        <w:rPr>
          <w:bCs/>
          <w:b/>
        </w:rPr>
        <w:t xml:space="preserve">Script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npm run carga-chat</w:t>
      </w:r>
      <w:r>
        <w:rPr>
          <w:bCs/>
          <w:b/>
        </w:rPr>
        <w:t xml:space="preserve">:</w:t>
      </w:r>
      <w:r>
        <w:t xml:space="preserve"> </w:t>
      </w:r>
      <w:r>
        <w:t xml:space="preserve">dispara 1, 2, 4 e 8 perguntas ao mesmo tempo e mede o tempo até o primeiro trecho e até a resposta completa. Ele confirma (ou corrige) a hipótese da fila com números reais. Foi testado com um Ollama simulado.</w:t>
      </w:r>
    </w:p>
    <w:bookmarkEnd w:id="53"/>
    <w:bookmarkStart w:id="54" w:name="o-que-foi-medido-cálculo"/>
    <w:p>
      <w:pPr>
        <w:pStyle w:val="Heading3"/>
      </w:pPr>
      <w:r>
        <w:t xml:space="preserve">O que foi medido (cálculo)</w:t>
      </w:r>
    </w:p>
    <w:p>
      <w:pPr>
        <w:pStyle w:val="FirstParagraph"/>
      </w:pPr>
      <w:r>
        <w:rPr>
          <w:bCs/>
          <w:b/>
        </w:rPr>
        <w:t xml:space="preserve">Fórmulas:</w:t>
      </w:r>
    </w:p>
    <w:p>
      <w:pPr>
        <w:pStyle w:val="Compact"/>
        <w:numPr>
          <w:ilvl w:val="0"/>
          <w:numId w:val="1017"/>
        </w:numPr>
      </w:pPr>
      <w:r>
        <w:t xml:space="preserve">ocupação do modelo: ρ = (usuários simultâneos ÷ 60) × tempo de atendimento;</w:t>
      </w:r>
    </w:p>
    <w:p>
      <w:pPr>
        <w:pStyle w:val="Compact"/>
        <w:numPr>
          <w:ilvl w:val="0"/>
          <w:numId w:val="1017"/>
        </w:numPr>
      </w:pPr>
      <w:r>
        <w:t xml:space="preserve">tempo médio de resposta: W = tempo de atendimento ÷ (1 − ρ).</w:t>
      </w:r>
    </w:p>
    <w:tbl>
      <w:tblPr>
        <w:tblStyle w:val="Table"/>
        <w:tblW w:type="dxa" w:w="907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Cadastrados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Simultâneos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Ocupação (ρ)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médio de resposta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 s (sem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1,75 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 s (sem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 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 s (sem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cresce sem limite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 s (com GPU)*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 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 s (1 GPU)*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cresce sem limite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 s (3 instâncias)*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0,556 por instância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 s</w:t>
            </w:r>
          </w:p>
        </w:tc>
      </w:tr>
    </w:tbl>
    <w:p>
      <w:pPr>
        <w:pStyle w:val="BodyText"/>
      </w:pPr>
      <w:r>
        <w:t xml:space="preserve">* 0,4 s com GPU é uma hipótese, a confirmar experimentalmente.</w:t>
      </w:r>
    </w:p>
    <w:bookmarkEnd w:id="54"/>
    <w:bookmarkStart w:id="55" w:name="o-que-falta-sessão-de-testes-3"/>
    <w:p>
      <w:pPr>
        <w:pStyle w:val="Heading3"/>
      </w:pPr>
      <w:r>
        <w:t xml:space="preserve">O que falta (sessão de testes)</w:t>
      </w:r>
    </w:p>
    <w:p>
      <w:pPr>
        <w:pStyle w:val="Compact"/>
        <w:numPr>
          <w:ilvl w:val="0"/>
          <w:numId w:val="1018"/>
        </w:numPr>
      </w:pPr>
      <w:r>
        <w:t xml:space="preserve">Rodar</w:t>
      </w:r>
      <w:r>
        <w:t xml:space="preserve"> </w:t>
      </w:r>
      <w:r>
        <w:rPr>
          <w:rStyle w:val="VerbatimChar"/>
        </w:rPr>
        <w:t xml:space="preserve">npm run carga-chat</w:t>
      </w:r>
      <w:r>
        <w:t xml:space="preserve"> </w:t>
      </w:r>
      <w:r>
        <w:t xml:space="preserve">com o backend e o Ollama ligados.</w:t>
      </w:r>
    </w:p>
    <w:p>
      <w:pPr>
        <w:pStyle w:val="Compact"/>
        <w:numPr>
          <w:ilvl w:val="0"/>
          <w:numId w:val="1018"/>
        </w:numPr>
      </w:pPr>
      <w:r>
        <w:t xml:space="preserve">Trocar 1,65 s pelo tempo medido com 1 pergunta e conferir as linhas de 2, 4 e 8.</w:t>
      </w:r>
    </w:p>
    <w:p>
      <w:pPr>
        <w:pStyle w:val="Compact"/>
        <w:numPr>
          <w:ilvl w:val="0"/>
          <w:numId w:val="1018"/>
        </w:numPr>
      </w:pPr>
      <w:r>
        <w:t xml:space="preserve">Anotar o valor de</w:t>
      </w:r>
      <w:r>
        <w:t xml:space="preserve"> </w:t>
      </w:r>
      <w:r>
        <w:rPr>
          <w:rStyle w:val="VerbatimChar"/>
        </w:rPr>
        <w:t xml:space="preserve">OLLAMA_NUM_PARALLEL</w:t>
      </w:r>
      <w:r>
        <w:t xml:space="preserve">, se tiver sido alterado.</w:t>
      </w:r>
    </w:p>
    <w:bookmarkEnd w:id="55"/>
    <w:bookmarkStart w:id="56" w:name="texto-para-o-tcc-6"/>
    <w:p>
      <w:pPr>
        <w:pStyle w:val="Heading3"/>
      </w:pPr>
      <w:r>
        <w:t xml:space="preserve">Texto para o TCC</w:t>
      </w:r>
    </w:p>
    <w:p>
      <w:pPr>
        <w:pStyle w:val="FirstParagraph"/>
      </w:pPr>
      <w:r>
        <w:rPr>
          <w:bCs/>
          <w:b/>
        </w:rPr>
        <w:t xml:space="preserve">Seção 5.6 — substitui a marcação:</w:t>
      </w:r>
    </w:p>
    <w:p>
      <w:pPr>
        <w:pStyle w:val="BlockText"/>
      </w:pPr>
      <w:r>
        <w:t xml:space="preserve">Como o protótipo não foi submetido a carga concorrente, a demanda suportada foi estimada a partir do tempo de resposta medido. O Ollama processa as gerações de forma sequencial na configuração padrão, de modo que perguntas simultâneas formam uma fila e o tempo de espera cresce com a ocupação do modelo. Adotando-se o tempo mediano de resposta completa de 1,65 s (Tabela 1) como tempo de atendimento, e supondo que cada usuário em conversa envie, em média, uma pergunta por minuto, a ocupação do modelo é ρ = U × 1,65 / 60, em que U é o número de usuários conversando ao mesmo tempo, e o tempo médio até a resposta é aproximadamente 1,65 / (1 − ρ) s, segundo o modelo de fila M/M/1. A Tabela Y apresenta a estimativa para diferentes portes de implantação, com proporções de usuários simultâneos decrescentes com o tamanho da base.</w:t>
      </w:r>
    </w:p>
    <w:p>
      <w:pPr>
        <w:pStyle w:val="FirstParagraph"/>
      </w:pPr>
      <w:r>
        <w:rPr>
          <w:bCs/>
          <w:b/>
        </w:rPr>
        <w:t xml:space="preserve">Tabela Y – Estimativa de demanda e hardware correspondente</w:t>
      </w:r>
    </w:p>
    <w:tbl>
      <w:tblPr>
        <w:tblStyle w:val="Table"/>
        <w:tblW w:type="dxa" w:w="907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Usuários cadastrados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Simultâneos no chat (hipótese)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Ocupação do modelo (ρ)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médio de resposta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correspondente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1,8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mínimo funcional (8 GB de RAM, sem GPU)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2,3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Estação equivalente à de medição (6 núcleos, 16–32 GB de RAM, sem GPU)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1,38 sem GPU — saturado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0,6 s com GPU*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com GPU dedicada (≥ 8 GB de VRAM), 32 GB de RAM e PostgreSQL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(2,5%)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 com uma GPU* — saturado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0,9 s com 3 instâncias de inferência*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Vários servidores de inferência com GPU, balanceador de carga, PostgreSQL e índice vetorial dedicado</w:t>
            </w:r>
          </w:p>
        </w:tc>
      </w:tr>
    </w:tbl>
    <w:p>
      <w:pPr>
        <w:pStyle w:val="BodyText"/>
      </w:pPr>
      <w:r>
        <w:t xml:space="preserve">* Supondo tempo de atendimento de 0,4 s com GPU dedicada, valor a ser confirmado experimentalmente.</w:t>
      </w:r>
    </w:p>
    <w:p>
      <w:pPr>
        <w:pStyle w:val="BodyText"/>
      </w:pPr>
      <w:r>
        <w:t xml:space="preserve">Fonte: os autores (2026).</w:t>
      </w:r>
    </w:p>
    <w:p>
      <w:pPr>
        <w:pStyle w:val="BlockText"/>
      </w:pPr>
      <w:r>
        <w:t xml:space="preserve">Assim, a configuração avaliada atende, com folga, a demanda de referência de um laboratório como o do estudo de caso — da ordem de 100 usuários cadastrados e até 10 conversando simultaneamente —, enquanto implantações a partir de mil usuários exigem GPU dedicada e, a partir de dez mil, distribuição da inferência entre várias máquinas e substituição do SQLite por um SGBD cliente-servidor, cenário que extrapola o escopo do protótipo. Trata-se de estimativa analítica, que deve ser confirmada por testes de carga.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oteiro-da-sessão-de-testes-mafê--arthur"/>
    <w:p>
      <w:pPr>
        <w:pStyle w:val="Heading2"/>
      </w:pPr>
      <w:r>
        <w:t xml:space="preserve">Roteiro da sessão de testes (Mafê + Arthur)</w:t>
      </w:r>
    </w:p>
    <w:p>
      <w:pPr>
        <w:pStyle w:val="FirstParagraph"/>
      </w:pPr>
      <w:r>
        <w:t xml:space="preserve">A divisão de tarefas sugere uma sessão única: os tempos do Docling, da indexação e da memória servem para a p.65 (Mafê) e a p.67 (Arthur). Fazer no PC de referência (Ryzen 5 4600G, 32 GB, Windows 11).</w:t>
      </w:r>
    </w:p>
    <w:p>
      <w:pPr>
        <w:pStyle w:val="Compact"/>
        <w:numPr>
          <w:ilvl w:val="0"/>
          <w:numId w:val="1019"/>
        </w:numPr>
      </w:pPr>
      <w:r>
        <w:t xml:space="preserve">Atualizar o projeto (</w:t>
      </w:r>
      <w:r>
        <w:rPr>
          <w:rStyle w:val="VerbatimChar"/>
        </w:rPr>
        <w:t xml:space="preserve">git pull</w:t>
      </w:r>
      <w:r>
        <w:t xml:space="preserve">) e, dentro de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 rodar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Instalar o Docling uma vez com</w:t>
      </w:r>
      <w:r>
        <w:t xml:space="preserve"> </w:t>
      </w:r>
      <w:r>
        <w:rPr>
          <w:rStyle w:val="VerbatimChar"/>
        </w:rPr>
        <w:t xml:space="preserve">pip install "docling[easyocr]"</w:t>
      </w:r>
      <w:r>
        <w:t xml:space="preserve">. A primeira conversão baixa os modelos dele.</w:t>
      </w:r>
    </w:p>
    <w:p>
      <w:pPr>
        <w:pStyle w:val="Compact"/>
        <w:numPr>
          <w:ilvl w:val="0"/>
          <w:numId w:val="1019"/>
        </w:numPr>
      </w:pPr>
      <w:r>
        <w:t xml:space="preserve">Separar 1 ou 2 PDFs/DOCX reais do laboratório (manual de equipamento, regulamento) numa pasta.</w:t>
      </w:r>
    </w:p>
    <w:p>
      <w:pPr>
        <w:pStyle w:val="Compact"/>
        <w:numPr>
          <w:ilvl w:val="0"/>
          <w:numId w:val="1019"/>
        </w:numPr>
      </w:pPr>
      <w:r>
        <w:t xml:space="preserve">Fechar programas pesados e deixar o PC na tomada.</w:t>
      </w:r>
    </w:p>
    <w:p>
      <w:pPr>
        <w:pStyle w:val="Compact"/>
        <w:numPr>
          <w:ilvl w:val="0"/>
          <w:numId w:val="1019"/>
        </w:numPr>
      </w:pPr>
      <w:r>
        <w:t xml:space="preserve">Rodar</w:t>
      </w:r>
      <w:r>
        <w:t xml:space="preserve"> </w:t>
      </w:r>
      <w:r>
        <w:rPr>
          <w:rStyle w:val="VerbatimChar"/>
        </w:rPr>
        <w:t xml:space="preserve">npm run medir</w:t>
      </w:r>
      <w:r>
        <w:t xml:space="preserve">: acervo do estudo de caso (task 3).</w:t>
      </w:r>
    </w:p>
    <w:p>
      <w:pPr>
        <w:pStyle w:val="Compact"/>
        <w:numPr>
          <w:ilvl w:val="0"/>
          <w:numId w:val="1019"/>
        </w:numPr>
      </w:pPr>
      <w:r>
        <w:t xml:space="preserve">Rodar</w:t>
      </w:r>
      <w:r>
        <w:t xml:space="preserve"> </w:t>
      </w:r>
      <w:r>
        <w:rPr>
          <w:rStyle w:val="VerbatimChar"/>
        </w:rPr>
        <w:t xml:space="preserve">npm run medir -- --pasta &lt;pasta com os PDFs&gt;</w:t>
      </w:r>
      <w:r>
        <w:t xml:space="preserve">: tempo e memória do Docling (tasks 3 e 4).</w:t>
      </w:r>
    </w:p>
    <w:p>
      <w:pPr>
        <w:pStyle w:val="Compact"/>
        <w:numPr>
          <w:ilvl w:val="0"/>
          <w:numId w:val="1019"/>
        </w:numPr>
      </w:pPr>
      <w:r>
        <w:t xml:space="preserve">Rodar</w:t>
      </w:r>
      <w:r>
        <w:t xml:space="preserve"> </w:t>
      </w:r>
      <w:r>
        <w:rPr>
          <w:rStyle w:val="VerbatimChar"/>
        </w:rPr>
        <w:t xml:space="preserve">npm run simular-chunk</w:t>
      </w:r>
      <w:r>
        <w:t xml:space="preserve">: tabela da task 5.</w:t>
      </w:r>
    </w:p>
    <w:p>
      <w:pPr>
        <w:pStyle w:val="Compact"/>
        <w:numPr>
          <w:ilvl w:val="0"/>
          <w:numId w:val="1019"/>
        </w:numPr>
      </w:pPr>
      <w:r>
        <w:t xml:space="preserve">Ligar o</w:t>
      </w:r>
      <w:r>
        <w:t xml:space="preserve"> </w:t>
      </w:r>
      <w:r>
        <w:rPr>
          <w:rStyle w:val="VerbatimChar"/>
        </w:rPr>
        <w:t xml:space="preserve">node server.js</w:t>
      </w:r>
      <w:r>
        <w:t xml:space="preserve"> </w:t>
      </w:r>
      <w:r>
        <w:t xml:space="preserve">e o Ollama e rodar</w:t>
      </w:r>
      <w:r>
        <w:t xml:space="preserve"> </w:t>
      </w:r>
      <w:r>
        <w:rPr>
          <w:rStyle w:val="VerbatimChar"/>
        </w:rPr>
        <w:t xml:space="preserve">npm run carga-chat</w:t>
      </w:r>
      <w:r>
        <w:t xml:space="preserve">: task 7, e também tempos de resposta para o Arthur.</w:t>
      </w:r>
    </w:p>
    <w:p>
      <w:pPr>
        <w:pStyle w:val="Compact"/>
        <w:numPr>
          <w:ilvl w:val="0"/>
          <w:numId w:val="1019"/>
        </w:numPr>
      </w:pPr>
      <w:r>
        <w:t xml:space="preserve">Enviar um PDF pela tela</w:t>
      </w:r>
      <w:r>
        <w:t xml:space="preserve"> </w:t>
      </w:r>
      <w:r>
        <w:rPr>
          <w:bCs/>
          <w:b/>
        </w:rPr>
        <w:t xml:space="preserve">Treinamento IA</w:t>
      </w:r>
      <w:r>
        <w:t xml:space="preserve"> </w:t>
      </w:r>
      <w:r>
        <w:t xml:space="preserve">e conferir o log em</w:t>
      </w:r>
      <w:r>
        <w:t xml:space="preserve"> </w:t>
      </w:r>
      <w:r>
        <w:rPr>
          <w:bCs/>
          <w:b/>
        </w:rPr>
        <w:t xml:space="preserve">Painel → Logs</w:t>
      </w:r>
      <w:r>
        <w:t xml:space="preserve"> </w:t>
      </w:r>
      <w:r>
        <w:t xml:space="preserve">(task 4).</w:t>
      </w:r>
    </w:p>
    <w:p>
      <w:pPr>
        <w:pStyle w:val="Compact"/>
        <w:numPr>
          <w:ilvl w:val="0"/>
          <w:numId w:val="1019"/>
        </w:numPr>
      </w:pPr>
      <w:r>
        <w:t xml:space="preserve">Os relatórios ficam em</w:t>
      </w:r>
      <w:r>
        <w:t xml:space="preserve"> </w:t>
      </w:r>
      <w:r>
        <w:rPr>
          <w:rStyle w:val="VerbatimChar"/>
        </w:rPr>
        <w:t xml:space="preserve">docs/medicoes/</w:t>
      </w:r>
      <w:r>
        <w:t xml:space="preserve">, com o ambiente da máquina registrado (task 2). Use-os para preencher os campos</w:t>
      </w:r>
      <w:r>
        <w:t xml:space="preserve"> </w:t>
      </w:r>
      <w:r>
        <w:rPr>
          <w:rStyle w:val="VerbatimChar"/>
          <w:b/>
          <w:highlight w:val="yellow"/>
        </w:rPr>
        <w:t xml:space="preserve">[MEDIR NA SESSÃO]</w:t>
      </w:r>
      <w:r>
        <w:t xml:space="preserve">.</w:t>
      </w:r>
    </w:p>
    <w:bookmarkEnd w:id="58"/>
    <w:bookmarkEnd w:id="59"/>
    <w:sectPr>
      <w:pgSz w:w="11906" w:h="16838"/>
      <w:pgMar w:top="1418" w:right="1418" w:bottom="1418" w:left="1418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1"/>
        <w:szCs w:val="21"/>
        <w:lang w:bidi="ar-SA" w:eastAsia="en-US" w:val="pt-BR"/>
      </w:rPr>
    </w:rPrDefault>
    <w:pPrDefault>
      <w:pPr>
        <w:spacing w:after="12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styleId="FirstParagraph" w:type="paragraph">
    <w:name w:val="First Paragraph"/>
    <w:basedOn w:val="BodyText"/>
    <w:next w:val="BodyText"/>
    <w:qFormat/>
  </w:style>
  <w:style w:styleId="Compact" w:type="paragraph">
    <w:name w:val="Compact"/>
    <w:basedOn w:val="BodyText"/>
    <w:qFormat/>
    <w:pPr>
      <w:spacing w:after="40" w:before="40"/>
    </w:pPr>
  </w:style>
  <w:style w:styleId="Title" w:type="paragraph">
    <w:name w:val="Title"/>
    <w:basedOn w:val="Normal"/>
    <w:next w:val="BodyText"/>
    <w:qFormat/>
    <w:pPr>
      <w:keepNext/>
      <w:spacing w:after="240" w:before="0"/>
    </w:pPr>
    <w:rPr>
      <w:rFonts w:ascii="Arial" w:cs="Arial" w:eastAsia="Arial" w:hAnsi="Arial"/>
      <w:b/>
      <w:color w:val="1F4E7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1F4E79" w:space="4" w:sz="8" w:val="single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60" w:before="200"/>
      <w:outlineLvl w:val="2"/>
    </w:pPr>
    <w:rPr>
      <w:rFonts w:ascii="Arial" w:cs="Arial" w:eastAsia="Arial" w:hAnsi="Arial"/>
      <w:b/>
      <w:bCs/>
      <w:color w:val="2E75B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qFormat/>
    <w:pPr>
      <w:pBdr>
        <w:left w:color="2E75B6" w:space="8" w:sz="24" w:val="single"/>
      </w:pBdr>
      <w:shd w:color="auto" w:fill="EEF4FA" w:val="clear"/>
      <w:spacing w:after="80" w:before="80"/>
      <w:ind w:firstLine="0" w:left="240" w:right="0"/>
      <w:jc w:val="both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/>
    </w:pPr>
    <w:rPr>
      <w:sz w:val="19"/>
      <w:szCs w:val="19"/>
    </w:rPr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type="character" w:customStyle="1" w:styleId="VerbatimChar">
    <w:name w:val="Verbatim Char"/>
    <w:rPr>
      <w:rFonts w:ascii="Consolas" w:hAnsi="Consolas" w:cs="Consolas"/>
      <w:color w:val="1F4E79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aclanthology.org/2024.emnlp-main.98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aclanthology.org/2024.emnlp-main.98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2026-10-20T16:29:17Z</dcterms:created>
  <dcterms:modified xsi:type="dcterms:W3CDTF">2026-10-20T16:29:17Z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