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6"/>
        </w:rPr>
        <w:t>PANTA ACQUISITION REVIEW</w:t>
      </w:r>
    </w:p>
    <w:p>
      <w:pPr>
        <w:spacing w:after="280"/>
      </w:pPr>
      <w:r>
        <w:rPr>
          <w:rFonts w:ascii="Calibri" w:hAnsi="Calibri"/>
          <w:b w:val="0"/>
          <w:color w:val="556575"/>
          <w:sz w:val="25"/>
        </w:rPr>
        <w:t>Deterministic fixture for text, table and image extraction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Document ID: </w:t>
      </w:r>
      <w:r>
        <w:rPr>
          <w:rFonts w:ascii="Calibri" w:hAnsi="Calibri"/>
          <w:b w:val="0"/>
          <w:sz w:val="21"/>
        </w:rPr>
        <w:t>PANTA-DOCX-001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Decision date: </w:t>
      </w:r>
      <w:r>
        <w:rPr>
          <w:rFonts w:ascii="Calibri" w:hAnsi="Calibri"/>
          <w:b w:val="0"/>
          <w:sz w:val="21"/>
        </w:rPr>
        <w:t>2026-08-15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Status: </w:t>
      </w:r>
      <w:r>
        <w:rPr>
          <w:rFonts w:ascii="Calibri" w:hAnsi="Calibri"/>
          <w:b w:val="0"/>
          <w:sz w:val="21"/>
        </w:rPr>
        <w:t>Approved</w:t>
      </w:r>
    </w:p>
    <w:p>
      <w:pPr>
        <w:pStyle w:val="Heading1"/>
      </w:pPr>
      <w:r>
        <w:t>Investment decision</w:t>
      </w:r>
    </w:p>
    <w:p>
      <w:r>
        <w:rPr>
          <w:rFonts w:ascii="Calibri" w:hAnsi="Calibri"/>
          <w:b w:val="0"/>
          <w:sz w:val="22"/>
        </w:rPr>
        <w:t>The investment committee approved Project Aurora on 2026-08-15. Maria Rossi recorded the approval.</w:t>
      </w:r>
    </w:p>
    <w:p>
      <w:pPr>
        <w:pStyle w:val="Heading1"/>
      </w:pPr>
      <w:r>
        <w:t>Regional operating profile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960"/>
        <w:gridCol w:w="2700"/>
        <w:gridCol w:w="2700"/>
      </w:tblGrid>
      <w:tr>
        <w:tc>
          <w:tcPr>
            <w:tcW w:type="dxa" w:w="3960"/>
            <w:shd w:fill="F2F4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Region</w:t>
            </w:r>
          </w:p>
        </w:tc>
        <w:tc>
          <w:tcPr>
            <w:tcW w:type="dxa" w:w="2700"/>
            <w:shd w:fill="F2F4F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Revenue (EUR m)</w:t>
            </w:r>
          </w:p>
        </w:tc>
        <w:tc>
          <w:tcPr>
            <w:tcW w:type="dxa" w:w="2700"/>
            <w:shd w:fill="F2F4F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EBITDA (EUR m)</w:t>
            </w:r>
          </w:p>
        </w:tc>
      </w:tr>
      <w:tr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North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21"/>
              </w:rPr>
              <w:t>125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21"/>
              </w:rPr>
              <w:t>45</w:t>
            </w:r>
          </w:p>
        </w:tc>
      </w:tr>
      <w:tr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South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21"/>
              </w:rPr>
              <w:t>90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21"/>
              </w:rPr>
              <w:t>28</w:t>
            </w:r>
          </w:p>
        </w:tc>
      </w:tr>
    </w:tbl>
    <w:p>
      <w:pPr>
        <w:pStyle w:val="Heading1"/>
      </w:pPr>
      <w:r>
        <w:t>Visual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6120" cy="1947672"/>
            <wp:docPr id="1" name="Picture 1" descr="Bar chart: approved investment EUR 42,500 and risk 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ta_test_vis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1947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hAnsi="Calibri"/>
          <w:b w:val="0"/>
          <w:color w:val="556575"/>
          <w:sz w:val="18"/>
        </w:rPr>
        <w:t>Figure 1. Approved investment indicator.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56575"/>
        <w:sz w:val="17"/>
      </w:rPr>
      <w:t>Synthetic, non-sensitive test data |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56575"/>
        <w:sz w:val="17"/>
      </w:rPr>
      <w:t>PANTA EVALUATION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