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Contrat d'abonnement TransitSoftServices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c8a66455719ebba366267518b395220190e9f16"/>
    <w:p>
      <w:pPr>
        <w:pStyle w:val="Heading1"/>
      </w:pPr>
      <w:r>
        <w:t xml:space="preserve">CONTRAT D'ABONNEMENT À LA PLATEFORME TRANSITSOFTSERVICES</w:t>
      </w:r>
    </w:p>
    <w:p>
      <w:pPr>
        <w:pStyle w:val="FirstParagraph"/>
      </w:pPr>
      <w:r>
        <w:rPr>
          <w:b/>
          <w:bCs/>
        </w:rPr>
        <w:t xml:space="preserve">Contrat de fourniture de services logiciels en mode SaaS</w:t>
      </w:r>
    </w:p>
    <w:p>
      <w:pPr>
        <w:pStyle w:val="BlockText"/>
      </w:pPr>
      <w:r>
        <w:t xml:space="preserve">Modèle à faire relire par un avocat avant première signature. Les champs entre</w:t>
      </w:r>
      <w:r>
        <w:t xml:space="preserve"> </w:t>
      </w:r>
      <w:r>
        <w:t xml:space="preserve">crochets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sont à compléter. Les Annexes 1 à 3 font partie intégrante du</w:t>
      </w:r>
      <w:r>
        <w:t xml:space="preserve"> </w:t>
      </w:r>
      <w:r>
        <w:t xml:space="preserve">Contrat.</w:t>
      </w:r>
    </w:p>
    <w:p>
      <w:r>
        <w:pict>
          <v:rect style="width:0;height:1.5pt" o:hralign="center" o:hrstd="t" o:hr="t"/>
        </w:pict>
      </w:r>
    </w:p>
    <w:bookmarkStart w:id="9" w:name="entre-les-soussignés"/>
    <w:p>
      <w:pPr>
        <w:pStyle w:val="Heading2"/>
      </w:pPr>
      <w:r>
        <w:t xml:space="preserve">ENTRE LES SOUSSIGNÉS</w:t>
      </w:r>
    </w:p>
    <w:p>
      <w:pPr>
        <w:pStyle w:val="FirstParagraph"/>
      </w:pPr>
      <w:r>
        <w:rPr>
          <w:b/>
          <w:bCs/>
        </w:rPr>
        <w:t xml:space="preserve">TransitSoftServices</w:t>
      </w:r>
      <w:r>
        <w:t xml:space="preserve">, [forme juridique — ex. SARL], au capital de [montant] FCFA,</w:t>
      </w:r>
      <w:r>
        <w:t xml:space="preserve"> </w:t>
      </w:r>
      <w:r>
        <w:t xml:space="preserve">immatriculée au RCCM sous le numéro [RCCM], NIU [numéro], dont le siège social est</w:t>
      </w:r>
      <w:r>
        <w:t xml:space="preserve"> </w:t>
      </w:r>
      <w:r>
        <w:t xml:space="preserve">situé à [adresse complète], représentée par [nom, prénom], en qualité de [gérant /</w:t>
      </w:r>
      <w:r>
        <w:t xml:space="preserve"> </w:t>
      </w:r>
      <w:r>
        <w:t xml:space="preserve">directeur général], dûment habilité(e) aux fins des présentes,</w:t>
      </w:r>
    </w:p>
    <w:p>
      <w:pPr>
        <w:pStyle w:val="BodyText"/>
      </w:pPr>
      <w:r>
        <w:t xml:space="preserve">ci-après «</w:t>
      </w:r>
      <w:r>
        <w:t xml:space="preserve"> </w:t>
      </w:r>
      <w:r>
        <w:rPr>
          <w:b/>
          <w:bCs/>
        </w:rPr>
        <w:t xml:space="preserve">le Prestataire</w:t>
      </w:r>
      <w:r>
        <w:t xml:space="preserve"> </w:t>
      </w:r>
      <w:r>
        <w:t xml:space="preserve">»,</w:t>
      </w:r>
    </w:p>
    <w:p>
      <w:pPr>
        <w:pStyle w:val="BodyText"/>
      </w:pPr>
      <w:r>
        <w:rPr>
          <w:b/>
          <w:bCs/>
        </w:rPr>
        <w:t xml:space="preserve">ET</w:t>
      </w:r>
    </w:p>
    <w:p>
      <w:pPr>
        <w:pStyle w:val="BodyText"/>
      </w:pPr>
      <w:r>
        <w:rPr>
          <w:b/>
          <w:bCs/>
        </w:rPr>
        <w:t xml:space="preserve">[Dénomination sociale du client]</w:t>
      </w:r>
      <w:r>
        <w:t xml:space="preserve">, [forme juridique], au capital de [montant] FCFA,</w:t>
      </w:r>
      <w:r>
        <w:t xml:space="preserve"> </w:t>
      </w:r>
      <w:r>
        <w:t xml:space="preserve">immatriculée au RCCM sous le numéro [RCCM], NIU [numéro], dont le siège social est</w:t>
      </w:r>
      <w:r>
        <w:t xml:space="preserve"> </w:t>
      </w:r>
      <w:r>
        <w:t xml:space="preserve">situé à [adresse complète], représentée par [nom, prénom], en qualité de [qualité],</w:t>
      </w:r>
    </w:p>
    <w:p>
      <w:pPr>
        <w:pStyle w:val="BodyText"/>
      </w:pPr>
      <w:r>
        <w:t xml:space="preserve">ci-après «</w:t>
      </w:r>
      <w:r>
        <w:t xml:space="preserve"> </w:t>
      </w:r>
      <w:r>
        <w:rPr>
          <w:b/>
          <w:bCs/>
        </w:rPr>
        <w:t xml:space="preserve">le Client</w:t>
      </w:r>
      <w:r>
        <w:t xml:space="preserve"> </w:t>
      </w:r>
      <w:r>
        <w:t xml:space="preserve">»,</w:t>
      </w:r>
    </w:p>
    <w:p>
      <w:pPr>
        <w:pStyle w:val="BodyText"/>
      </w:pPr>
      <w:r>
        <w:t xml:space="preserve">ci-après désignés ensemble « les Parties ».</w:t>
      </w:r>
    </w:p>
    <w:p>
      <w:r>
        <w:pict>
          <v:rect style="width:0;height:1.5pt" o:hralign="center" o:hrstd="t" o:hr="t"/>
        </w:pict>
      </w:r>
    </w:p>
    <w:bookmarkEnd w:id="9"/>
    <w:bookmarkStart w:id="10" w:name="article-1--définitions"/>
    <w:p>
      <w:pPr>
        <w:pStyle w:val="Heading2"/>
      </w:pPr>
      <w:r>
        <w:t xml:space="preserve">ARTICLE 1 — DÉFINITIONS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Plateforme</w:t>
      </w:r>
      <w:r>
        <w:t xml:space="preserve"> </w:t>
      </w:r>
      <w:r>
        <w:t xml:space="preserve">: la solution logicielle TransitSoftServices de gestion de transit</w:t>
      </w:r>
      <w:r>
        <w:t xml:space="preserve"> </w:t>
      </w:r>
      <w:r>
        <w:t xml:space="preserve">aérien, maritime et terrestre, accessible en mode SaaS, comprenant les applications</w:t>
      </w:r>
      <w:r>
        <w:t xml:space="preserve"> </w:t>
      </w:r>
      <w:r>
        <w:t xml:space="preserve">web, le portail client public, les applications mobiles et, le cas échéant,</w:t>
      </w:r>
      <w:r>
        <w:t xml:space="preserve"> </w:t>
      </w:r>
      <w:r>
        <w:t xml:space="preserve">l'application de bureau.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Instance</w:t>
      </w:r>
      <w:r>
        <w:t xml:space="preserve"> </w:t>
      </w:r>
      <w:r>
        <w:t xml:space="preserve">: l'environnement technique dédié au Client (base de données,</w:t>
      </w:r>
      <w:r>
        <w:t xml:space="preserve"> </w:t>
      </w:r>
      <w:r>
        <w:t xml:space="preserve">stockage de fichiers et services applicatifs isolés), accessible via le</w:t>
      </w:r>
      <w:r>
        <w:t xml:space="preserve"> </w:t>
      </w:r>
      <w:r>
        <w:t xml:space="preserve">sous-domaine</w:t>
      </w:r>
      <w:r>
        <w:t xml:space="preserve"> </w:t>
      </w:r>
      <w:r>
        <w:rPr>
          <w:rStyle w:val="VerbatimChar"/>
        </w:rPr>
        <w:t xml:space="preserve">[slug].transitsoftservices.com</w:t>
      </w:r>
      <w:r>
        <w:t xml:space="preserve"> </w:t>
      </w:r>
      <w:r>
        <w:t xml:space="preserve">ou un nom de domaine propre au Client.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Modules</w:t>
      </w:r>
      <w:r>
        <w:t xml:space="preserve"> </w:t>
      </w:r>
      <w:r>
        <w:t xml:space="preserve">: les fonctionnalités activées sur l'Instance selon le Plan souscrit</w:t>
      </w:r>
      <w:r>
        <w:t xml:space="preserve"> </w:t>
      </w:r>
      <w:r>
        <w:t xml:space="preserve">(Annexe 1) : gestion des colis et conteneurs, bordereaux, clients et destinataires,</w:t>
      </w:r>
      <w:r>
        <w:t xml:space="preserve"> </w:t>
      </w:r>
      <w:r>
        <w:t xml:space="preserve">facturation et comptabilité, ressources humaines, notifications multicanales,</w:t>
      </w:r>
      <w:r>
        <w:t xml:space="preserve"> </w:t>
      </w:r>
      <w:r>
        <w:t xml:space="preserve">programme de fidélité, rapports, support par messagerie.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: la formule d'abonnement souscrite par le Client (Annexe 1), définissant</w:t>
      </w:r>
      <w:r>
        <w:t xml:space="preserve"> </w:t>
      </w:r>
      <w:r>
        <w:t xml:space="preserve">les Modules, les ressources techniques allouées et le prix mensuel.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Utilisateurs</w:t>
      </w:r>
      <w:r>
        <w:t xml:space="preserve"> </w:t>
      </w:r>
      <w:r>
        <w:t xml:space="preserve">: les employés et préposés du Client autorisés à accéder à</w:t>
      </w:r>
      <w:r>
        <w:t xml:space="preserve"> </w:t>
      </w:r>
      <w:r>
        <w:t xml:space="preserve">l'Instance.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Données Client</w:t>
      </w:r>
      <w:r>
        <w:t xml:space="preserve"> </w:t>
      </w:r>
      <w:r>
        <w:t xml:space="preserve">: l'ensemble des données saisies, importées ou générées sur</w:t>
      </w:r>
      <w:r>
        <w:t xml:space="preserve"> </w:t>
      </w:r>
      <w:r>
        <w:t xml:space="preserve">l'Instance par le Client, ses Utilisateurs ou ses propres clients (expéditeurs,</w:t>
      </w:r>
      <w:r>
        <w:t xml:space="preserve"> </w:t>
      </w:r>
      <w:r>
        <w:t xml:space="preserve">destinataires), en ce compris les données à caractère personnel.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Mise en service</w:t>
      </w:r>
      <w:r>
        <w:t xml:space="preserve"> </w:t>
      </w:r>
      <w:r>
        <w:t xml:space="preserve">: la date à laquelle l'Instance est provisionnée et accessible.</w:t>
      </w:r>
    </w:p>
    <w:bookmarkEnd w:id="10"/>
    <w:bookmarkStart w:id="11" w:name="article-2--objet"/>
    <w:p>
      <w:pPr>
        <w:pStyle w:val="Heading2"/>
      </w:pPr>
      <w:r>
        <w:t xml:space="preserve">ARTICLE 2 — OBJET</w:t>
      </w:r>
    </w:p>
    <w:p>
      <w:pPr>
        <w:pStyle w:val="FirstParagraph"/>
      </w:pPr>
      <w:r>
        <w:t xml:space="preserve">Le présent Contrat a pour objet de définir les conditions dans lesquelles le</w:t>
      </w:r>
      <w:r>
        <w:t xml:space="preserve"> </w:t>
      </w:r>
      <w:r>
        <w:t xml:space="preserve">Prestataire concède au Client, pendant la durée du Contrat, un droit d'accès et</w:t>
      </w:r>
      <w:r>
        <w:t xml:space="preserve"> </w:t>
      </w:r>
      <w:r>
        <w:t xml:space="preserve">d'utilisation de la Plateforme en mode SaaS, ainsi que les services d'hébergement,</w:t>
      </w:r>
      <w:r>
        <w:t xml:space="preserve"> </w:t>
      </w:r>
      <w:r>
        <w:t xml:space="preserve">de maintenance, de sauvegarde et de support associés.</w:t>
      </w:r>
    </w:p>
    <w:p>
      <w:pPr>
        <w:pStyle w:val="BodyText"/>
      </w:pPr>
      <w:r>
        <w:t xml:space="preserve">Le Contrat n'emporte aucun transfert de propriété intellectuelle au profit du Client.</w:t>
      </w:r>
    </w:p>
    <w:bookmarkEnd w:id="11"/>
    <w:bookmarkStart w:id="12" w:name="article-3--description-des-services"/>
    <w:p>
      <w:pPr>
        <w:pStyle w:val="Heading2"/>
      </w:pPr>
      <w:r>
        <w:t xml:space="preserve">ARTICLE 3 — DESCRIPTION DES SERVICES</w:t>
      </w:r>
    </w:p>
    <w:p>
      <w:pPr>
        <w:pStyle w:val="FirstParagraph"/>
      </w:pPr>
      <w:r>
        <w:rPr>
          <w:b/>
          <w:bCs/>
        </w:rPr>
        <w:t xml:space="preserve">3.1 Mise à disposition.</w:t>
      </w:r>
      <w:r>
        <w:t xml:space="preserve"> </w:t>
      </w:r>
      <w:r>
        <w:t xml:space="preserve">Le Prestataire provisionne une Instance dédiée au Client,</w:t>
      </w:r>
      <w:r>
        <w:t xml:space="preserve"> </w:t>
      </w:r>
      <w:r>
        <w:t xml:space="preserve">isolée des instances des autres clients (base de données, stockage de fichiers et</w:t>
      </w:r>
      <w:r>
        <w:t xml:space="preserve"> </w:t>
      </w:r>
      <w:r>
        <w:t xml:space="preserve">conteneurs applicatifs distincts). La Mise en service intervient au plus tard</w:t>
      </w:r>
      <w:r>
        <w:t xml:space="preserve"> </w:t>
      </w:r>
      <w:r>
        <w:t xml:space="preserve">[2] jours ouvrés après signature et encaissement du premier paiement.</w:t>
      </w:r>
    </w:p>
    <w:p>
      <w:pPr>
        <w:pStyle w:val="BodyText"/>
      </w:pPr>
      <w:r>
        <w:rPr>
          <w:b/>
          <w:bCs/>
        </w:rPr>
        <w:t xml:space="preserve">3.2 Accès.</w:t>
      </w:r>
      <w:r>
        <w:t xml:space="preserve"> </w:t>
      </w:r>
      <w:r>
        <w:t xml:space="preserve">L'Instance est accessible 24h/24, 7j/7, sous réserve des périodes de</w:t>
      </w:r>
      <w:r>
        <w:t xml:space="preserve"> </w:t>
      </w:r>
      <w:r>
        <w:t xml:space="preserve">maintenance (article 8) et des cas de force majeure, via :</w:t>
      </w:r>
    </w:p>
    <w:p>
      <w:pPr>
        <w:pStyle w:val="Compact"/>
        <w:numPr>
          <w:ilvl w:val="0"/>
          <w:numId w:val="1002"/>
        </w:numPr>
      </w:pPr>
      <w:r>
        <w:t xml:space="preserve">l'application de gestion :</w:t>
      </w:r>
      <w:r>
        <w:t xml:space="preserve"> </w:t>
      </w:r>
      <w:r>
        <w:rPr>
          <w:rStyle w:val="VerbatimChar"/>
        </w:rPr>
        <w:t xml:space="preserve">app.[slug].transitsoftservices.com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le portail public de suivi :</w:t>
      </w:r>
      <w:r>
        <w:t xml:space="preserve"> </w:t>
      </w:r>
      <w:r>
        <w:rPr>
          <w:rStyle w:val="VerbatimChar"/>
        </w:rPr>
        <w:t xml:space="preserve">[slug].transitsoftservices.com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les applications mobiles compatibles.</w:t>
      </w:r>
    </w:p>
    <w:p>
      <w:pPr>
        <w:pStyle w:val="FirstParagraph"/>
      </w:pPr>
      <w:r>
        <w:rPr>
          <w:b/>
          <w:bCs/>
        </w:rPr>
        <w:t xml:space="preserve">3.3 Modules.</w:t>
      </w:r>
      <w:r>
        <w:t xml:space="preserve"> </w:t>
      </w:r>
      <w:r>
        <w:t xml:space="preserve">Les Modules activés sont ceux du Plan souscrit (Annexe 1). Le Client</w:t>
      </w:r>
      <w:r>
        <w:t xml:space="preserve"> </w:t>
      </w:r>
      <w:r>
        <w:t xml:space="preserve">peut demander l'activation de Modules supplémentaires ; le changement de Plan prend</w:t>
      </w:r>
      <w:r>
        <w:t xml:space="preserve"> </w:t>
      </w:r>
      <w:r>
        <w:t xml:space="preserve">effet après confirmation du paiement correspondant.</w:t>
      </w:r>
    </w:p>
    <w:p>
      <w:pPr>
        <w:pStyle w:val="BodyText"/>
      </w:pPr>
      <w:r>
        <w:rPr>
          <w:b/>
          <w:bCs/>
        </w:rPr>
        <w:t xml:space="preserve">3.4 Nom de domaine personnalisé.</w:t>
      </w:r>
      <w:r>
        <w:t xml:space="preserve"> </w:t>
      </w:r>
      <w:r>
        <w:t xml:space="preserve">Sur demande, l'Instance peut être servie sous un</w:t>
      </w:r>
      <w:r>
        <w:t xml:space="preserve"> </w:t>
      </w:r>
      <w:r>
        <w:t xml:space="preserve">nom de domaine appartenant au Client. La configuration DNS relève du Client ; le</w:t>
      </w:r>
      <w:r>
        <w:t xml:space="preserve"> </w:t>
      </w:r>
      <w:r>
        <w:t xml:space="preserve">Prestataire fournit les certificats TLS.</w:t>
      </w:r>
    </w:p>
    <w:p>
      <w:pPr>
        <w:pStyle w:val="BodyText"/>
      </w:pPr>
      <w:r>
        <w:rPr>
          <w:b/>
          <w:bCs/>
        </w:rPr>
        <w:t xml:space="preserve">3.5 Marque blanche mobile.</w:t>
      </w:r>
      <w:r>
        <w:t xml:space="preserve"> </w:t>
      </w:r>
      <w:r>
        <w:t xml:space="preserve">Si le Plan le prévoit, le Prestataire publie une</w:t>
      </w:r>
      <w:r>
        <w:t xml:space="preserve"> </w:t>
      </w:r>
      <w:r>
        <w:t xml:space="preserve">version de l'application mobile aux couleurs du Client. Les frais de comptes</w:t>
      </w:r>
      <w:r>
        <w:t xml:space="preserve"> </w:t>
      </w:r>
      <w:r>
        <w:t xml:space="preserve">développeur (Apple/Google) restent à la charge du Client.</w:t>
      </w:r>
    </w:p>
    <w:p>
      <w:pPr>
        <w:pStyle w:val="BodyText"/>
      </w:pPr>
      <w:r>
        <w:rPr>
          <w:b/>
          <w:bCs/>
        </w:rPr>
        <w:t xml:space="preserve">3.6 Évolutions.</w:t>
      </w:r>
      <w:r>
        <w:t xml:space="preserve"> </w:t>
      </w:r>
      <w:r>
        <w:t xml:space="preserve">Le Prestataire fait évoluer la Plateforme (correctifs, nouvelles</w:t>
      </w:r>
      <w:r>
        <w:t xml:space="preserve"> </w:t>
      </w:r>
      <w:r>
        <w:t xml:space="preserve">fonctionnalités). Les mises à jour sont déployées selon la politique choisie par le</w:t>
      </w:r>
      <w:r>
        <w:t xml:space="preserve"> </w:t>
      </w:r>
      <w:r>
        <w:t xml:space="preserve">Client (manuelle, automatique stable, ou correctifs critiques uniquement). Chaque</w:t>
      </w:r>
      <w:r>
        <w:t xml:space="preserve"> </w:t>
      </w:r>
      <w:r>
        <w:t xml:space="preserve">mise à jour est précédée d'une sauvegarde permettant un retour arrière.</w:t>
      </w:r>
    </w:p>
    <w:bookmarkEnd w:id="12"/>
    <w:bookmarkStart w:id="13" w:name="article-4--durée"/>
    <w:p>
      <w:pPr>
        <w:pStyle w:val="Heading2"/>
      </w:pPr>
      <w:r>
        <w:t xml:space="preserve">ARTICLE 4 — DURÉE</w:t>
      </w:r>
    </w:p>
    <w:p>
      <w:pPr>
        <w:pStyle w:val="FirstParagraph"/>
      </w:pPr>
      <w:r>
        <w:t xml:space="preserve">Le Contrat prend effet à sa signature pour une durée initiale de [un (1) mois /</w:t>
      </w:r>
      <w:r>
        <w:t xml:space="preserve"> </w:t>
      </w:r>
      <w:r>
        <w:t xml:space="preserve">douze (12) mois], renouvelable tacitement par périodes successives d'égale durée,</w:t>
      </w:r>
      <w:r>
        <w:t xml:space="preserve"> </w:t>
      </w:r>
      <w:r>
        <w:t xml:space="preserve">sauf dénonciation par l'une des Parties notifiée par écrit au moins [15] jours avant</w:t>
      </w:r>
      <w:r>
        <w:t xml:space="preserve"> </w:t>
      </w:r>
      <w:r>
        <w:t xml:space="preserve">l'échéance en cours.</w:t>
      </w:r>
    </w:p>
    <w:bookmarkEnd w:id="13"/>
    <w:bookmarkStart w:id="14" w:name="article-5--conditions-financières"/>
    <w:p>
      <w:pPr>
        <w:pStyle w:val="Heading2"/>
      </w:pPr>
      <w:r>
        <w:t xml:space="preserve">ARTICLE 5 — CONDITIONS FINANCIÈRES</w:t>
      </w:r>
    </w:p>
    <w:p>
      <w:pPr>
        <w:pStyle w:val="FirstParagraph"/>
      </w:pPr>
      <w:r>
        <w:rPr>
          <w:b/>
          <w:bCs/>
        </w:rPr>
        <w:t xml:space="preserve">5.1 Prix.</w:t>
      </w:r>
      <w:r>
        <w:t xml:space="preserve"> </w:t>
      </w:r>
      <w:r>
        <w:t xml:space="preserve">Le prix de l'abonnement est celui du Plan souscrit, exprimé en francs</w:t>
      </w:r>
      <w:r>
        <w:t xml:space="preserve"> </w:t>
      </w:r>
      <w:r>
        <w:t xml:space="preserve">CFA (XAF) hors taxes (Annexe 1). Toute taxe applicable est à la charge du Client.</w:t>
      </w:r>
    </w:p>
    <w:p>
      <w:pPr>
        <w:pStyle w:val="BodyText"/>
      </w:pPr>
      <w:r>
        <w:rPr>
          <w:b/>
          <w:bCs/>
        </w:rPr>
        <w:t xml:space="preserve">5.2 Facturation et paiement.</w:t>
      </w:r>
      <w:r>
        <w:t xml:space="preserve"> </w:t>
      </w:r>
      <w:r>
        <w:t xml:space="preserve">L'abonnement est payable d'avance, par période.</w:t>
      </w:r>
      <w:r>
        <w:t xml:space="preserve"> </w:t>
      </w:r>
      <w:r>
        <w:t xml:space="preserve">Moyens de paiement acceptés : Mobile Money (MTN MoMo, Orange Money), carte bancaire,</w:t>
      </w:r>
      <w:r>
        <w:t xml:space="preserve"> </w:t>
      </w:r>
      <w:r>
        <w:t xml:space="preserve">ou tout autre moyen convenu entre les Parties. Le paiement est réputé effectué à la</w:t>
      </w:r>
      <w:r>
        <w:t xml:space="preserve"> </w:t>
      </w:r>
      <w:r>
        <w:t xml:space="preserve">confirmation par l'opérateur de paiement.</w:t>
      </w:r>
    </w:p>
    <w:p>
      <w:pPr>
        <w:pStyle w:val="BodyText"/>
      </w:pPr>
      <w:r>
        <w:rPr>
          <w:b/>
          <w:bCs/>
        </w:rPr>
        <w:t xml:space="preserve">5.3 Retard et suspension.</w:t>
      </w:r>
      <w:r>
        <w:t xml:space="preserve"> </w:t>
      </w:r>
      <w:r>
        <w:t xml:space="preserve">À défaut de paiement à l'échéance, et après notification</w:t>
      </w:r>
      <w:r>
        <w:t xml:space="preserve"> </w:t>
      </w:r>
      <w:r>
        <w:t xml:space="preserve">restée sans effet pendant [7] jours, le Prestataire peut suspendre l'Instance</w:t>
      </w:r>
      <w:r>
        <w:t xml:space="preserve"> </w:t>
      </w:r>
      <w:r>
        <w:t xml:space="preserve">(« gel ») : les services sont arrêtés mais les Données Client sont intégralement</w:t>
      </w:r>
      <w:r>
        <w:t xml:space="preserve"> </w:t>
      </w:r>
      <w:r>
        <w:t xml:space="preserve">conservées. La réactivation intervient sans délai après régularisation. La suspension</w:t>
      </w:r>
      <w:r>
        <w:t xml:space="preserve"> </w:t>
      </w:r>
      <w:r>
        <w:t xml:space="preserve">ne dispense pas du paiement des sommes dues.</w:t>
      </w:r>
    </w:p>
    <w:p>
      <w:pPr>
        <w:pStyle w:val="BodyText"/>
      </w:pPr>
      <w:r>
        <w:rPr>
          <w:b/>
          <w:bCs/>
        </w:rPr>
        <w:t xml:space="preserve">5.4 Révision.</w:t>
      </w:r>
      <w:r>
        <w:t xml:space="preserve"> </w:t>
      </w:r>
      <w:r>
        <w:t xml:space="preserve">Le Prestataire peut réviser les tarifs moyennant un préavis écrit de</w:t>
      </w:r>
      <w:r>
        <w:t xml:space="preserve"> </w:t>
      </w:r>
      <w:r>
        <w:t xml:space="preserve">[60] jours ; la révision s'applique à la période de renouvellement suivante. En cas de</w:t>
      </w:r>
      <w:r>
        <w:t xml:space="preserve"> </w:t>
      </w:r>
      <w:r>
        <w:t xml:space="preserve">désaccord, le Client peut résilier sans pénalité avant l'entrée en vigueur du nouveau</w:t>
      </w:r>
      <w:r>
        <w:t xml:space="preserve"> </w:t>
      </w:r>
      <w:r>
        <w:t xml:space="preserve">tarif.</w:t>
      </w:r>
    </w:p>
    <w:p>
      <w:pPr>
        <w:pStyle w:val="BodyText"/>
      </w:pPr>
      <w:r>
        <w:rPr>
          <w:b/>
          <w:bCs/>
        </w:rPr>
        <w:t xml:space="preserve">5.5 Dépassement de ressources.</w:t>
      </w:r>
      <w:r>
        <w:t xml:space="preserve"> </w:t>
      </w:r>
      <w:r>
        <w:t xml:space="preserve">En cas de dépassement durable des ressources ou</w:t>
      </w:r>
      <w:r>
        <w:t xml:space="preserve"> </w:t>
      </w:r>
      <w:r>
        <w:t xml:space="preserve">limites du Plan (Annexe 1), les Parties conviennent d'un passage au Plan supérieur ;</w:t>
      </w:r>
      <w:r>
        <w:t xml:space="preserve"> </w:t>
      </w:r>
      <w:r>
        <w:t xml:space="preserve">à défaut d'accord sous [30] jours, chaque Partie peut résilier à l'échéance.</w:t>
      </w:r>
    </w:p>
    <w:bookmarkEnd w:id="14"/>
    <w:bookmarkStart w:id="15" w:name="article-6--obligations-du-prestataire"/>
    <w:p>
      <w:pPr>
        <w:pStyle w:val="Heading2"/>
      </w:pPr>
      <w:r>
        <w:t xml:space="preserve">ARTICLE 6 — OBLIGATIONS DU PRESTATAIRE</w:t>
      </w:r>
    </w:p>
    <w:p>
      <w:pPr>
        <w:pStyle w:val="FirstParagraph"/>
      </w:pPr>
      <w:r>
        <w:t xml:space="preserve">Le Prestataire s'engage à :</w:t>
      </w:r>
    </w:p>
    <w:p>
      <w:pPr>
        <w:pStyle w:val="Compact"/>
        <w:numPr>
          <w:ilvl w:val="0"/>
          <w:numId w:val="1003"/>
        </w:numPr>
      </w:pPr>
      <w:r>
        <w:t xml:space="preserve">fournir les services avec diligence et selon les règles de l'art, dans le cadre</w:t>
      </w:r>
      <w:r>
        <w:t xml:space="preserve"> </w:t>
      </w:r>
      <w:r>
        <w:t xml:space="preserve">d'une</w:t>
      </w:r>
      <w:r>
        <w:t xml:space="preserve"> </w:t>
      </w:r>
      <w:r>
        <w:rPr>
          <w:b/>
          <w:bCs/>
        </w:rPr>
        <w:t xml:space="preserve">obligation de moyens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assurer l'hébergement, la surveillance et la maintenance de l'Instance ;</w:t>
      </w:r>
    </w:p>
    <w:p>
      <w:pPr>
        <w:pStyle w:val="Compact"/>
        <w:numPr>
          <w:ilvl w:val="0"/>
          <w:numId w:val="1003"/>
        </w:numPr>
      </w:pPr>
      <w:r>
        <w:t xml:space="preserve">réaliser des</w:t>
      </w:r>
      <w:r>
        <w:t xml:space="preserve"> </w:t>
      </w:r>
      <w:r>
        <w:rPr>
          <w:b/>
          <w:bCs/>
        </w:rPr>
        <w:t xml:space="preserve">sauvegardes quotidiennes</w:t>
      </w:r>
      <w:r>
        <w:t xml:space="preserve"> </w:t>
      </w:r>
      <w:r>
        <w:t xml:space="preserve">de l'Instance, conservées au minimum</w:t>
      </w:r>
      <w:r>
        <w:t xml:space="preserve"> </w:t>
      </w:r>
      <w:r>
        <w:rPr>
          <w:b/>
          <w:bCs/>
        </w:rPr>
        <w:t xml:space="preserve">trente (30) jours</w:t>
      </w:r>
      <w:r>
        <w:t xml:space="preserve">, ainsi qu'une sauvegarde avant chaque mise à jour ;</w:t>
      </w:r>
    </w:p>
    <w:p>
      <w:pPr>
        <w:pStyle w:val="Compact"/>
        <w:numPr>
          <w:ilvl w:val="0"/>
          <w:numId w:val="1003"/>
        </w:numPr>
      </w:pPr>
      <w:r>
        <w:t xml:space="preserve">maintenir l'isolation technique des Données Client vis-à-vis des autres clients ;</w:t>
      </w:r>
    </w:p>
    <w:p>
      <w:pPr>
        <w:pStyle w:val="Compact"/>
        <w:numPr>
          <w:ilvl w:val="0"/>
          <w:numId w:val="1003"/>
        </w:numPr>
      </w:pPr>
      <w:r>
        <w:t xml:space="preserve">notifier le Client de toute maintenance programmée avec un préavis raisonnable ;</w:t>
      </w:r>
    </w:p>
    <w:p>
      <w:pPr>
        <w:pStyle w:val="Compact"/>
        <w:numPr>
          <w:ilvl w:val="0"/>
          <w:numId w:val="1003"/>
        </w:numPr>
      </w:pPr>
      <w:r>
        <w:t xml:space="preserve">fournir le support selon les modalités de l'Annexe 2 ;</w:t>
      </w:r>
    </w:p>
    <w:p>
      <w:pPr>
        <w:pStyle w:val="Compact"/>
        <w:numPr>
          <w:ilvl w:val="0"/>
          <w:numId w:val="1003"/>
        </w:numPr>
      </w:pPr>
      <w:r>
        <w:t xml:space="preserve">informer le Client sans délai injustifié de tout incident de sécurité affectant</w:t>
      </w:r>
      <w:r>
        <w:t xml:space="preserve"> </w:t>
      </w:r>
      <w:r>
        <w:t xml:space="preserve">ses données.</w:t>
      </w:r>
    </w:p>
    <w:bookmarkEnd w:id="15"/>
    <w:bookmarkStart w:id="16" w:name="article-7--obligations-du-client"/>
    <w:p>
      <w:pPr>
        <w:pStyle w:val="Heading2"/>
      </w:pPr>
      <w:r>
        <w:t xml:space="preserve">ARTICLE 7 — OBLIGATIONS DU CLIENT</w:t>
      </w:r>
    </w:p>
    <w:p>
      <w:pPr>
        <w:pStyle w:val="FirstParagraph"/>
      </w:pPr>
      <w:r>
        <w:t xml:space="preserve">Le Client s'engage à :</w:t>
      </w:r>
    </w:p>
    <w:p>
      <w:pPr>
        <w:pStyle w:val="Compact"/>
        <w:numPr>
          <w:ilvl w:val="0"/>
          <w:numId w:val="1004"/>
        </w:numPr>
      </w:pPr>
      <w:r>
        <w:t xml:space="preserve">utiliser la Plateforme conformément à sa destination, à la réglementation</w:t>
      </w:r>
      <w:r>
        <w:t xml:space="preserve"> </w:t>
      </w:r>
      <w:r>
        <w:t xml:space="preserve">applicable à son activité (transit, douane, transport) et au présent Contrat ;</w:t>
      </w:r>
    </w:p>
    <w:p>
      <w:pPr>
        <w:pStyle w:val="Compact"/>
        <w:numPr>
          <w:ilvl w:val="0"/>
          <w:numId w:val="1004"/>
        </w:numPr>
      </w:pPr>
      <w:r>
        <w:t xml:space="preserve">garantir l'exactitude des données saisies et être seul responsable du contenu des</w:t>
      </w:r>
      <w:r>
        <w:t xml:space="preserve"> </w:t>
      </w:r>
      <w:r>
        <w:t xml:space="preserve">Données Client, notamment des documents d'identité et informations financières de</w:t>
      </w:r>
      <w:r>
        <w:t xml:space="preserve"> </w:t>
      </w:r>
      <w:r>
        <w:t xml:space="preserve">ses propres clients et employés ;</w:t>
      </w:r>
    </w:p>
    <w:p>
      <w:pPr>
        <w:pStyle w:val="Compact"/>
        <w:numPr>
          <w:ilvl w:val="0"/>
          <w:numId w:val="1004"/>
        </w:numPr>
      </w:pPr>
      <w:r>
        <w:t xml:space="preserve">disposer d'une base légale pour la collecte des données personnelles qu'il traite</w:t>
      </w:r>
      <w:r>
        <w:t xml:space="preserve"> </w:t>
      </w:r>
      <w:r>
        <w:t xml:space="preserve">via la Plateforme et en informer les personnes concernées (article 10) ;</w:t>
      </w:r>
    </w:p>
    <w:p>
      <w:pPr>
        <w:pStyle w:val="Compact"/>
        <w:numPr>
          <w:ilvl w:val="0"/>
          <w:numId w:val="1004"/>
        </w:numPr>
      </w:pPr>
      <w:r>
        <w:t xml:space="preserve">gérer les habilitations de ses Utilisateurs, préserver la confidentialité des</w:t>
      </w:r>
      <w:r>
        <w:t xml:space="preserve"> </w:t>
      </w:r>
      <w:r>
        <w:t xml:space="preserve">identifiants et notifier sans délai toute compromission ;</w:t>
      </w:r>
    </w:p>
    <w:p>
      <w:pPr>
        <w:pStyle w:val="Compact"/>
        <w:numPr>
          <w:ilvl w:val="0"/>
          <w:numId w:val="1004"/>
        </w:numPr>
      </w:pPr>
      <w:r>
        <w:t xml:space="preserve">ne pas tenter de contourner les mesures de sécurité, ni d'accéder aux données</w:t>
      </w:r>
      <w:r>
        <w:t xml:space="preserve"> </w:t>
      </w:r>
      <w:r>
        <w:t xml:space="preserve">d'autres clients, ni de revendre l'accès à la Plateforme à des tiers ;</w:t>
      </w:r>
    </w:p>
    <w:p>
      <w:pPr>
        <w:pStyle w:val="Compact"/>
        <w:numPr>
          <w:ilvl w:val="0"/>
          <w:numId w:val="1004"/>
        </w:numPr>
      </w:pPr>
      <w:r>
        <w:t xml:space="preserve">payer le prix aux échéances convenues ;</w:t>
      </w:r>
    </w:p>
    <w:p>
      <w:pPr>
        <w:pStyle w:val="Compact"/>
        <w:numPr>
          <w:ilvl w:val="0"/>
          <w:numId w:val="1004"/>
        </w:numPr>
      </w:pPr>
      <w:r>
        <w:t xml:space="preserve">collaborer de bonne foi avec le Prestataire pour tout diagnostic ou incident.</w:t>
      </w:r>
    </w:p>
    <w:bookmarkEnd w:id="16"/>
    <w:bookmarkStart w:id="17" w:name="Xc64de4e4c0af6abd1d1c6d747e3303d0be9f02d"/>
    <w:p>
      <w:pPr>
        <w:pStyle w:val="Heading2"/>
      </w:pPr>
      <w:r>
        <w:t xml:space="preserve">ARTICLE 8 — NIVEAUX DE SERVICE, MAINTENANCE</w:t>
      </w:r>
    </w:p>
    <w:p>
      <w:pPr>
        <w:pStyle w:val="FirstParagraph"/>
      </w:pPr>
      <w:r>
        <w:rPr>
          <w:b/>
          <w:bCs/>
        </w:rPr>
        <w:t xml:space="preserve">8.1 Disponibilité.</w:t>
      </w:r>
      <w:r>
        <w:t xml:space="preserve"> </w:t>
      </w:r>
      <w:r>
        <w:t xml:space="preserve">Le Prestataire s'engage sur le taux de disponibilité mensuel de</w:t>
      </w:r>
      <w:r>
        <w:t xml:space="preserve"> </w:t>
      </w:r>
      <w:r>
        <w:t xml:space="preserve">l'Instance défini à l'Annexe 2 selon le Plan souscrit, hors maintenance programmée et</w:t>
      </w:r>
      <w:r>
        <w:t xml:space="preserve"> </w:t>
      </w:r>
      <w:r>
        <w:t xml:space="preserve">force majeure.</w:t>
      </w:r>
    </w:p>
    <w:p>
      <w:pPr>
        <w:pStyle w:val="BodyText"/>
      </w:pPr>
      <w:r>
        <w:rPr>
          <w:b/>
          <w:bCs/>
        </w:rPr>
        <w:t xml:space="preserve">8.2 Maintenance programmée.</w:t>
      </w:r>
      <w:r>
        <w:t xml:space="preserve"> </w:t>
      </w:r>
      <w:r>
        <w:t xml:space="preserve">Les opérations de maintenance sont, dans la mesure du</w:t>
      </w:r>
      <w:r>
        <w:t xml:space="preserve"> </w:t>
      </w:r>
      <w:r>
        <w:t xml:space="preserve">possible, réalisées en dehors des heures ouvrées du Client et notifiées au moins</w:t>
      </w:r>
      <w:r>
        <w:t xml:space="preserve"> </w:t>
      </w:r>
      <w:r>
        <w:t xml:space="preserve">[48] heures à l'avance.</w:t>
      </w:r>
    </w:p>
    <w:p>
      <w:pPr>
        <w:pStyle w:val="BodyText"/>
      </w:pPr>
      <w:r>
        <w:rPr>
          <w:b/>
          <w:bCs/>
        </w:rPr>
        <w:t xml:space="preserve">8.3 Pénalités.</w:t>
      </w:r>
      <w:r>
        <w:t xml:space="preserve"> </w:t>
      </w:r>
      <w:r>
        <w:t xml:space="preserve">En cas de non-respect du taux de disponibilité sur un mois donné,</w:t>
      </w:r>
      <w:r>
        <w:t xml:space="preserve"> </w:t>
      </w:r>
      <w:r>
        <w:t xml:space="preserve">le Client bénéficie, sur demande écrite dans les [30] jours, des avoirs définis à</w:t>
      </w:r>
      <w:r>
        <w:t xml:space="preserve"> </w:t>
      </w:r>
      <w:r>
        <w:t xml:space="preserve">l'Annexe 2. Ces avoirs constituent la seule réparation due au titre de la</w:t>
      </w:r>
      <w:r>
        <w:t xml:space="preserve"> </w:t>
      </w:r>
      <w:r>
        <w:t xml:space="preserve">disponibilité.</w:t>
      </w:r>
    </w:p>
    <w:bookmarkEnd w:id="17"/>
    <w:bookmarkStart w:id="18" w:name="X50261ca195f131c98df0b85194ff6fa964f8b81"/>
    <w:p>
      <w:pPr>
        <w:pStyle w:val="Heading2"/>
      </w:pPr>
      <w:r>
        <w:t xml:space="preserve">ARTICLE 9 — PROPRIÉTÉ DES DONNÉES ET RÉVERSIBILITÉ</w:t>
      </w:r>
    </w:p>
    <w:p>
      <w:pPr>
        <w:pStyle w:val="FirstParagraph"/>
      </w:pPr>
      <w:r>
        <w:rPr>
          <w:b/>
          <w:bCs/>
        </w:rPr>
        <w:t xml:space="preserve">9.1 Propriété.</w:t>
      </w:r>
      <w:r>
        <w:t xml:space="preserve"> </w:t>
      </w:r>
      <w:r>
        <w:t xml:space="preserve">Les Données Client demeurent la propriété exclusive du Client.</w:t>
      </w:r>
      <w:r>
        <w:t xml:space="preserve"> </w:t>
      </w:r>
      <w:r>
        <w:t xml:space="preserve">Le Prestataire ne les exploite que pour l'exécution du Contrat, la sécurité et la</w:t>
      </w:r>
      <w:r>
        <w:t xml:space="preserve"> </w:t>
      </w:r>
      <w:r>
        <w:t xml:space="preserve">maintenance ; il ne les vend ni ne les communique à des tiers hors sous-traitants</w:t>
      </w:r>
      <w:r>
        <w:t xml:space="preserve"> </w:t>
      </w:r>
      <w:r>
        <w:t xml:space="preserve">de l'article 11.</w:t>
      </w:r>
    </w:p>
    <w:p>
      <w:pPr>
        <w:pStyle w:val="BodyText"/>
      </w:pPr>
      <w:r>
        <w:rPr>
          <w:b/>
          <w:bCs/>
        </w:rPr>
        <w:t xml:space="preserve">9.2 Réversibilité.</w:t>
      </w:r>
      <w:r>
        <w:t xml:space="preserve"> </w:t>
      </w:r>
      <w:r>
        <w:t xml:space="preserve">À l'expiration ou à la résiliation du Contrat, le Prestataire</w:t>
      </w:r>
      <w:r>
        <w:t xml:space="preserve"> </w:t>
      </w:r>
      <w:r>
        <w:t xml:space="preserve">restitue au Client, sur demande formulée dans les</w:t>
      </w:r>
      <w:r>
        <w:t xml:space="preserve"> </w:t>
      </w:r>
      <w:r>
        <w:rPr>
          <w:b/>
          <w:bCs/>
        </w:rPr>
        <w:t xml:space="preserve">trente (30) jours</w:t>
      </w:r>
      <w:r>
        <w:t xml:space="preserve">, une copie</w:t>
      </w:r>
      <w:r>
        <w:t xml:space="preserve"> </w:t>
      </w:r>
      <w:r>
        <w:t xml:space="preserve">complète des Données Client dans un format structuré et couramment utilisé (export</w:t>
      </w:r>
      <w:r>
        <w:t xml:space="preserve"> </w:t>
      </w:r>
      <w:r>
        <w:t xml:space="preserve">base de données + fichiers). Cette restitution standard est incluse ; toute prestation</w:t>
      </w:r>
      <w:r>
        <w:t xml:space="preserve"> </w:t>
      </w:r>
      <w:r>
        <w:t xml:space="preserve">d'assistance à migration complémentaire fait l'objet d'un devis.</w:t>
      </w:r>
    </w:p>
    <w:p>
      <w:pPr>
        <w:pStyle w:val="BodyText"/>
      </w:pPr>
      <w:r>
        <w:rPr>
          <w:b/>
          <w:bCs/>
        </w:rPr>
        <w:t xml:space="preserve">9.3 Destruction.</w:t>
      </w:r>
      <w:r>
        <w:t xml:space="preserve"> </w:t>
      </w:r>
      <w:r>
        <w:t xml:space="preserve">À l'issue du délai de restitution, et au plus tard [60] jours</w:t>
      </w:r>
      <w:r>
        <w:t xml:space="preserve"> </w:t>
      </w:r>
      <w:r>
        <w:t xml:space="preserve">après la fin du Contrat, le Prestataire supprime l'Instance et les Données Client,</w:t>
      </w:r>
      <w:r>
        <w:t xml:space="preserve"> </w:t>
      </w:r>
      <w:r>
        <w:t xml:space="preserve">y compris les sauvegardes à l'expiration de leur cycle de rétention, sauf obligation</w:t>
      </w:r>
      <w:r>
        <w:t xml:space="preserve"> </w:t>
      </w:r>
      <w:r>
        <w:t xml:space="preserve">légale de conservation.</w:t>
      </w:r>
    </w:p>
    <w:bookmarkEnd w:id="18"/>
    <w:bookmarkStart w:id="19" w:name="X636ca3d461272a70fbfac36a99c1bbfc376be3e"/>
    <w:p>
      <w:pPr>
        <w:pStyle w:val="Heading2"/>
      </w:pPr>
      <w:r>
        <w:t xml:space="preserve">ARTICLE 10 — DONNÉES À CARACTÈRE PERSONNEL</w:t>
      </w:r>
    </w:p>
    <w:p>
      <w:pPr>
        <w:pStyle w:val="FirstParagraph"/>
      </w:pPr>
      <w:r>
        <w:rPr>
          <w:b/>
          <w:bCs/>
        </w:rPr>
        <w:t xml:space="preserve">10.1 Rôles.</w:t>
      </w:r>
      <w:r>
        <w:t xml:space="preserve"> </w:t>
      </w:r>
      <w:r>
        <w:t xml:space="preserve">Pour les données personnelles traitées via l'Instance (clients</w:t>
      </w:r>
      <w:r>
        <w:t xml:space="preserve"> </w:t>
      </w:r>
      <w:r>
        <w:t xml:space="preserve">expéditeurs et destinataires, employés du Client), le</w:t>
      </w:r>
      <w:r>
        <w:t xml:space="preserve"> </w:t>
      </w:r>
      <w:r>
        <w:rPr>
          <w:b/>
          <w:bCs/>
        </w:rPr>
        <w:t xml:space="preserve">Client est responsable du</w:t>
      </w:r>
      <w:r>
        <w:rPr>
          <w:b/>
          <w:bCs/>
        </w:rPr>
        <w:t xml:space="preserve"> </w:t>
      </w:r>
      <w:r>
        <w:rPr>
          <w:b/>
          <w:bCs/>
        </w:rPr>
        <w:t xml:space="preserve">traitement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Prestataire est sous-traitant</w:t>
      </w:r>
      <w:r>
        <w:t xml:space="preserve">. Pour les données de facturation</w:t>
      </w:r>
      <w:r>
        <w:t xml:space="preserve"> </w:t>
      </w:r>
      <w:r>
        <w:t xml:space="preserve">et de compte du Client lui-même, le Prestataire est responsable du traitement.</w:t>
      </w:r>
    </w:p>
    <w:p>
      <w:pPr>
        <w:pStyle w:val="BodyText"/>
      </w:pPr>
      <w:r>
        <w:rPr>
          <w:b/>
          <w:bCs/>
        </w:rPr>
        <w:t xml:space="preserve">10.2 Engagements du Prestataire (sous-traitant).</w:t>
      </w:r>
      <w:r>
        <w:t xml:space="preserve"> </w:t>
      </w:r>
      <w:r>
        <w:t xml:space="preserve">Le Prestataire :</w:t>
      </w:r>
    </w:p>
    <w:p>
      <w:pPr>
        <w:pStyle w:val="Compact"/>
        <w:numPr>
          <w:ilvl w:val="0"/>
          <w:numId w:val="1005"/>
        </w:numPr>
      </w:pPr>
      <w:r>
        <w:t xml:space="preserve">ne traite les données personnelles que sur instruction documentée du Client et pour</w:t>
      </w:r>
      <w:r>
        <w:t xml:space="preserve"> </w:t>
      </w:r>
      <w:r>
        <w:t xml:space="preserve">les seules finalités du Contrat ;</w:t>
      </w:r>
    </w:p>
    <w:p>
      <w:pPr>
        <w:pStyle w:val="Compact"/>
        <w:numPr>
          <w:ilvl w:val="0"/>
          <w:numId w:val="1005"/>
        </w:numPr>
      </w:pPr>
      <w:r>
        <w:t xml:space="preserve">met en œuvre des mesures techniques et organisationnelles appropriées : isolation</w:t>
      </w:r>
      <w:r>
        <w:t xml:space="preserve"> </w:t>
      </w:r>
      <w:r>
        <w:t xml:space="preserve">par client, chiffrement des flux (TLS), chiffrement des secrets au repos, contrôle</w:t>
      </w:r>
      <w:r>
        <w:t xml:space="preserve"> </w:t>
      </w:r>
      <w:r>
        <w:t xml:space="preserve">d'accès par rôles et permissions, journalisation des actions (audit log) ;</w:t>
      </w:r>
    </w:p>
    <w:p>
      <w:pPr>
        <w:pStyle w:val="Compact"/>
        <w:numPr>
          <w:ilvl w:val="0"/>
          <w:numId w:val="1005"/>
        </w:numPr>
      </w:pPr>
      <w:r>
        <w:t xml:space="preserve">notifie au Client toute violation de données personnelles dans les meilleurs délais</w:t>
      </w:r>
      <w:r>
        <w:t xml:space="preserve"> </w:t>
      </w:r>
      <w:r>
        <w:t xml:space="preserve">après en avoir eu connaissance, avec les informations utiles à ses propres</w:t>
      </w:r>
      <w:r>
        <w:t xml:space="preserve"> </w:t>
      </w:r>
      <w:r>
        <w:t xml:space="preserve">obligations de notification ;</w:t>
      </w:r>
    </w:p>
    <w:p>
      <w:pPr>
        <w:pStyle w:val="Compact"/>
        <w:numPr>
          <w:ilvl w:val="0"/>
          <w:numId w:val="1005"/>
        </w:numPr>
      </w:pPr>
      <w:r>
        <w:t xml:space="preserve">assiste raisonnablement le Client pour répondre aux demandes d'exercice de droits</w:t>
      </w:r>
      <w:r>
        <w:t xml:space="preserve"> </w:t>
      </w:r>
      <w:r>
        <w:t xml:space="preserve">des personnes concernées (accès, rectification, suppression) ;</w:t>
      </w:r>
    </w:p>
    <w:p>
      <w:pPr>
        <w:pStyle w:val="Compact"/>
        <w:numPr>
          <w:ilvl w:val="0"/>
          <w:numId w:val="1005"/>
        </w:numPr>
      </w:pPr>
      <w:r>
        <w:t xml:space="preserve">impose des obligations équivalentes à ses sous-traitants ultérieurs (article 11).</w:t>
      </w:r>
    </w:p>
    <w:p>
      <w:pPr>
        <w:pStyle w:val="FirstParagraph"/>
      </w:pPr>
      <w:r>
        <w:rPr>
          <w:b/>
          <w:bCs/>
        </w:rPr>
        <w:t xml:space="preserve">10.3 Conformité.</w:t>
      </w:r>
      <w:r>
        <w:t xml:space="preserve"> </w:t>
      </w:r>
      <w:r>
        <w:t xml:space="preserve">Chaque Partie respecte la réglementation qui lui est applicable</w:t>
      </w:r>
      <w:r>
        <w:t xml:space="preserve"> </w:t>
      </w:r>
      <w:r>
        <w:t xml:space="preserve">en matière de protection des données personnelles, notamment la réglementation</w:t>
      </w:r>
      <w:r>
        <w:t xml:space="preserve"> </w:t>
      </w:r>
      <w:r>
        <w:t xml:space="preserve">camerounaise en vigueur [et, le cas échéant, le RGPD si des personnes concernées</w:t>
      </w:r>
      <w:r>
        <w:t xml:space="preserve"> </w:t>
      </w:r>
      <w:r>
        <w:t xml:space="preserve">résident dans l'Union européenne].</w:t>
      </w:r>
    </w:p>
    <w:p>
      <w:pPr>
        <w:pStyle w:val="BodyText"/>
      </w:pPr>
      <w:r>
        <w:rPr>
          <w:b/>
          <w:bCs/>
        </w:rPr>
        <w:t xml:space="preserve">10.4 Données sensibles.</w:t>
      </w:r>
      <w:r>
        <w:t xml:space="preserve"> </w:t>
      </w:r>
      <w:r>
        <w:t xml:space="preserve">Le Client est informé que la Plateforme permet de stocker</w:t>
      </w:r>
      <w:r>
        <w:t xml:space="preserve"> </w:t>
      </w:r>
      <w:r>
        <w:t xml:space="preserve">des documents d'identité (CNI). Il lui appartient de limiter cette collecte au</w:t>
      </w:r>
      <w:r>
        <w:t xml:space="preserve"> </w:t>
      </w:r>
      <w:r>
        <w:t xml:space="preserve">nécessaire et d'en informer les personnes concernées.</w:t>
      </w:r>
    </w:p>
    <w:bookmarkEnd w:id="19"/>
    <w:bookmarkStart w:id="20" w:name="article-11--sous-traitance"/>
    <w:p>
      <w:pPr>
        <w:pStyle w:val="Heading2"/>
      </w:pPr>
      <w:r>
        <w:t xml:space="preserve">ARTICLE 11 — SOUS-TRAITANCE</w:t>
      </w:r>
    </w:p>
    <w:p>
      <w:pPr>
        <w:pStyle w:val="FirstParagraph"/>
      </w:pPr>
      <w:r>
        <w:t xml:space="preserve">Le Client autorise le Prestataire à recourir à des sous-traitants techniques pour</w:t>
      </w:r>
      <w:r>
        <w:t xml:space="preserve"> </w:t>
      </w:r>
      <w:r>
        <w:t xml:space="preserve">l'exécution du Contrat, notamment : hébergeurs (VPS), fournisseurs d'envoi d'e-mails</w:t>
      </w:r>
      <w:r>
        <w:t xml:space="preserve"> </w:t>
      </w:r>
      <w:r>
        <w:t xml:space="preserve">et de SMS, opérateurs de paiement (Mobile Money, cartes), service de messagerie</w:t>
      </w:r>
      <w:r>
        <w:t xml:space="preserve"> </w:t>
      </w:r>
      <w:r>
        <w:t xml:space="preserve">support. La liste des sous-traitants est tenue à disposition du Client et mise à jour</w:t>
      </w:r>
      <w:r>
        <w:t xml:space="preserve"> </w:t>
      </w:r>
      <w:r>
        <w:t xml:space="preserve">en cas de changement ; le Client peut s'opposer pour motif légitime dans les [15]</w:t>
      </w:r>
      <w:r>
        <w:t xml:space="preserve"> </w:t>
      </w:r>
      <w:r>
        <w:t xml:space="preserve">jours de la notification d'un changement.</w:t>
      </w:r>
    </w:p>
    <w:p>
      <w:pPr>
        <w:pStyle w:val="BodyText"/>
      </w:pPr>
      <w:r>
        <w:t xml:space="preserve">Le Prestataire demeure responsable envers le Client des prestations sous-traitées.</w:t>
      </w:r>
    </w:p>
    <w:bookmarkEnd w:id="20"/>
    <w:bookmarkStart w:id="21" w:name="article-12--propriété-intellectuelle"/>
    <w:p>
      <w:pPr>
        <w:pStyle w:val="Heading2"/>
      </w:pPr>
      <w:r>
        <w:t xml:space="preserve">ARTICLE 12 — PROPRIÉTÉ INTELLECTUELLE</w:t>
      </w:r>
    </w:p>
    <w:p>
      <w:pPr>
        <w:pStyle w:val="FirstParagraph"/>
      </w:pPr>
      <w:r>
        <w:t xml:space="preserve">La Plateforme, sa documentation, ses marques et logos demeurent la propriété</w:t>
      </w:r>
      <w:r>
        <w:t xml:space="preserve"> </w:t>
      </w:r>
      <w:r>
        <w:t xml:space="preserve">exclusive du Prestataire. Le Prestataire concède au Client, pour la durée du Contrat,</w:t>
      </w:r>
      <w:r>
        <w:t xml:space="preserve"> </w:t>
      </w:r>
      <w:r>
        <w:t xml:space="preserve">un droit personnel, non exclusif, non cessible et non transférable d'utilisation de</w:t>
      </w:r>
      <w:r>
        <w:t xml:space="preserve"> </w:t>
      </w:r>
      <w:r>
        <w:t xml:space="preserve">la Plateforme, pour ses besoins propres et dans la limite du Plan souscrit.</w:t>
      </w:r>
    </w:p>
    <w:p>
      <w:pPr>
        <w:pStyle w:val="BodyText"/>
      </w:pPr>
      <w:r>
        <w:t xml:space="preserve">Les éléments de marque fournis par le Client (logo, couleurs) restent la propriété du</w:t>
      </w:r>
      <w:r>
        <w:t xml:space="preserve"> </w:t>
      </w:r>
      <w:r>
        <w:t xml:space="preserve">Client ; il en concède l'usage au Prestataire pour les seuls besoins du Contrat</w:t>
      </w:r>
      <w:r>
        <w:t xml:space="preserve"> </w:t>
      </w:r>
      <w:r>
        <w:t xml:space="preserve">(personnalisation de l'Instance et, le cas échéant, marque blanche).</w:t>
      </w:r>
    </w:p>
    <w:bookmarkEnd w:id="21"/>
    <w:bookmarkStart w:id="22" w:name="article-13--confidentialité"/>
    <w:p>
      <w:pPr>
        <w:pStyle w:val="Heading2"/>
      </w:pPr>
      <w:r>
        <w:t xml:space="preserve">ARTICLE 13 — CONFIDENTIALITÉ</w:t>
      </w:r>
    </w:p>
    <w:p>
      <w:pPr>
        <w:pStyle w:val="FirstParagraph"/>
      </w:pPr>
      <w:r>
        <w:t xml:space="preserve">Chaque Partie s'engage à garder confidentielles les informations de l'autre Partie</w:t>
      </w:r>
      <w:r>
        <w:t xml:space="preserve"> </w:t>
      </w:r>
      <w:r>
        <w:t xml:space="preserve">identifiées comme telles ou dont la confidentialité résulte de leur nature (données</w:t>
      </w:r>
      <w:r>
        <w:t xml:space="preserve"> </w:t>
      </w:r>
      <w:r>
        <w:t xml:space="preserve">commerciales, financières, techniques), pendant la durée du Contrat et [3] ans après</w:t>
      </w:r>
      <w:r>
        <w:t xml:space="preserve"> </w:t>
      </w:r>
      <w:r>
        <w:t xml:space="preserve">son terme. Ne sont pas visées les informations publiques, déjà connues, ou dont la</w:t>
      </w:r>
      <w:r>
        <w:t xml:space="preserve"> </w:t>
      </w:r>
      <w:r>
        <w:t xml:space="preserve">divulgation est exigée par la loi ou une autorité compétente.</w:t>
      </w:r>
    </w:p>
    <w:bookmarkEnd w:id="22"/>
    <w:bookmarkStart w:id="23" w:name="article-14--responsabilité"/>
    <w:p>
      <w:pPr>
        <w:pStyle w:val="Heading2"/>
      </w:pPr>
      <w:r>
        <w:t xml:space="preserve">ARTICLE 14 — RESPONSABILITÉ</w:t>
      </w:r>
    </w:p>
    <w:p>
      <w:pPr>
        <w:pStyle w:val="FirstParagraph"/>
      </w:pPr>
      <w:r>
        <w:rPr>
          <w:b/>
          <w:bCs/>
        </w:rPr>
        <w:t xml:space="preserve">14.1</w:t>
      </w:r>
      <w:r>
        <w:t xml:space="preserve"> </w:t>
      </w:r>
      <w:r>
        <w:t xml:space="preserve">Le Prestataire est tenu à une obligation de moyens. Il n'est pas responsable :</w:t>
      </w:r>
      <w:r>
        <w:t xml:space="preserve"> </w:t>
      </w:r>
      <w:r>
        <w:t xml:space="preserve">des contenus et de l'exactitude des Données Client ; des décisions commerciales,</w:t>
      </w:r>
      <w:r>
        <w:t xml:space="preserve"> </w:t>
      </w:r>
      <w:r>
        <w:t xml:space="preserve">comptables ou fiscales prises par le Client sur la base des états produits par la</w:t>
      </w:r>
      <w:r>
        <w:t xml:space="preserve"> </w:t>
      </w:r>
      <w:r>
        <w:t xml:space="preserve">Plateforme ; des défaillances des réseaux de télécommunication, des opérateurs de</w:t>
      </w:r>
      <w:r>
        <w:t xml:space="preserve"> </w:t>
      </w:r>
      <w:r>
        <w:t xml:space="preserve">paiement ou des canaux tiers (SMS, WhatsApp, e-mail) ; d'une utilisation non conforme.</w:t>
      </w:r>
    </w:p>
    <w:p>
      <w:pPr>
        <w:pStyle w:val="BodyText"/>
      </w:pPr>
      <w:r>
        <w:rPr>
          <w:b/>
          <w:bCs/>
        </w:rPr>
        <w:t xml:space="preserve">14.2</w:t>
      </w:r>
      <w:r>
        <w:t xml:space="preserve"> </w:t>
      </w:r>
      <w:r>
        <w:t xml:space="preserve">La responsabilité totale cumulée du Prestataire, toutes causes confondues,</w:t>
      </w:r>
      <w:r>
        <w:t xml:space="preserve"> </w:t>
      </w:r>
      <w:r>
        <w:t xml:space="preserve">est plafonnée au montant des sommes effectivement payées par le Client au titre des</w:t>
      </w:r>
      <w:r>
        <w:t xml:space="preserve"> </w:t>
      </w:r>
      <w:r>
        <w:rPr>
          <w:b/>
          <w:bCs/>
        </w:rPr>
        <w:t xml:space="preserve">douze (12) derniers mois</w:t>
      </w:r>
      <w:r>
        <w:t xml:space="preserve"> </w:t>
      </w:r>
      <w:r>
        <w:t xml:space="preserve">précédant le fait générateur.</w:t>
      </w:r>
    </w:p>
    <w:p>
      <w:pPr>
        <w:pStyle w:val="BodyText"/>
      </w:pPr>
      <w:r>
        <w:rPr>
          <w:b/>
          <w:bCs/>
        </w:rPr>
        <w:t xml:space="preserve">14.3</w:t>
      </w:r>
      <w:r>
        <w:t xml:space="preserve"> </w:t>
      </w:r>
      <w:r>
        <w:t xml:space="preserve">Aucune Partie n'est responsable des dommages indirects (perte de chiffre</w:t>
      </w:r>
      <w:r>
        <w:t xml:space="preserve"> </w:t>
      </w:r>
      <w:r>
        <w:t xml:space="preserve">d'affaires, perte de clientèle, préjudice d'image), sous réserve des exclusions</w:t>
      </w:r>
      <w:r>
        <w:t xml:space="preserve"> </w:t>
      </w:r>
      <w:r>
        <w:t xml:space="preserve">d'ordre public.</w:t>
      </w:r>
    </w:p>
    <w:p>
      <w:pPr>
        <w:pStyle w:val="BodyText"/>
      </w:pPr>
      <w:r>
        <w:rPr>
          <w:b/>
          <w:bCs/>
        </w:rPr>
        <w:t xml:space="preserve">14.4</w:t>
      </w:r>
      <w:r>
        <w:t xml:space="preserve"> </w:t>
      </w:r>
      <w:r>
        <w:t xml:space="preserve">Rien dans le présent Contrat n'exclut la responsabilité d'une Partie en cas</w:t>
      </w:r>
      <w:r>
        <w:t xml:space="preserve"> </w:t>
      </w:r>
      <w:r>
        <w:t xml:space="preserve">de dol ou de faute lourde.</w:t>
      </w:r>
    </w:p>
    <w:bookmarkEnd w:id="23"/>
    <w:bookmarkStart w:id="24" w:name="Xa50a2ff3081c38f2a3ae0f776f1f86e5ef706c1"/>
    <w:p>
      <w:pPr>
        <w:pStyle w:val="Heading2"/>
      </w:pPr>
      <w:r>
        <w:t xml:space="preserve">ARTICLE 15 — SÉCURITÉ ET INTÉGRITÉ FINANCIÈRE</w:t>
      </w:r>
    </w:p>
    <w:p>
      <w:pPr>
        <w:pStyle w:val="FirstParagraph"/>
      </w:pPr>
      <w:r>
        <w:t xml:space="preserve">Le Prestataire déclare que la Plateforme applique les principes suivants : écritures</w:t>
      </w:r>
      <w:r>
        <w:t xml:space="preserve"> </w:t>
      </w:r>
      <w:r>
        <w:t xml:space="preserve">de paiement immuables (annulation par contre-passation uniquement), comptabilité en</w:t>
      </w:r>
      <w:r>
        <w:t xml:space="preserve"> </w:t>
      </w:r>
      <w:r>
        <w:t xml:space="preserve">partie double, journal d'audit des actions utilisateurs, sauvegardes régulières. Ces</w:t>
      </w:r>
      <w:r>
        <w:t xml:space="preserve"> </w:t>
      </w:r>
      <w:r>
        <w:t xml:space="preserve">mécanismes ne dispensent pas le Client de ses propres obligations comptables légales</w:t>
      </w:r>
      <w:r>
        <w:t xml:space="preserve"> </w:t>
      </w:r>
      <w:r>
        <w:t xml:space="preserve">(OHADA) ; la Plateforme est un outil de gestion, non un substitut à la comptabilité</w:t>
      </w:r>
      <w:r>
        <w:t xml:space="preserve"> </w:t>
      </w:r>
      <w:r>
        <w:t xml:space="preserve">légale certifiée du Client.</w:t>
      </w:r>
    </w:p>
    <w:bookmarkEnd w:id="24"/>
    <w:bookmarkStart w:id="25" w:name="article-16--suspension-pour-usage-abusif"/>
    <w:p>
      <w:pPr>
        <w:pStyle w:val="Heading2"/>
      </w:pPr>
      <w:r>
        <w:t xml:space="preserve">ARTICLE 16 — SUSPENSION POUR USAGE ABUSIF</w:t>
      </w:r>
    </w:p>
    <w:p>
      <w:pPr>
        <w:pStyle w:val="FirstParagraph"/>
      </w:pPr>
      <w:r>
        <w:t xml:space="preserve">Le Prestataire peut suspendre sans délai, après notification, tout usage qui :</w:t>
      </w:r>
      <w:r>
        <w:t xml:space="preserve"> </w:t>
      </w:r>
      <w:r>
        <w:t xml:space="preserve">compromet la sécurité ou la stabilité de la Plateforme ; viole la loi (contenus</w:t>
      </w:r>
      <w:r>
        <w:t xml:space="preserve"> </w:t>
      </w:r>
      <w:r>
        <w:t xml:space="preserve">illicites, fraude) ; excède massivement les ressources allouées au point d'affecter</w:t>
      </w:r>
      <w:r>
        <w:t xml:space="preserve"> </w:t>
      </w:r>
      <w:r>
        <w:t xml:space="preserve">le service. La suspension est levée dès cessation de la cause. Le Prestataire en</w:t>
      </w:r>
      <w:r>
        <w:t xml:space="preserve"> </w:t>
      </w:r>
      <w:r>
        <w:t xml:space="preserve">limite la portée et la durée au strict nécessaire.</w:t>
      </w:r>
    </w:p>
    <w:bookmarkEnd w:id="25"/>
    <w:bookmarkStart w:id="26" w:name="article-17--résiliation"/>
    <w:p>
      <w:pPr>
        <w:pStyle w:val="Heading2"/>
      </w:pPr>
      <w:r>
        <w:t xml:space="preserve">ARTICLE 17 — RÉSILIATION</w:t>
      </w:r>
    </w:p>
    <w:p>
      <w:pPr>
        <w:pStyle w:val="FirstParagraph"/>
      </w:pPr>
      <w:r>
        <w:rPr>
          <w:b/>
          <w:bCs/>
        </w:rPr>
        <w:t xml:space="preserve">17.1 Pour manquement.</w:t>
      </w:r>
      <w:r>
        <w:t xml:space="preserve"> </w:t>
      </w:r>
      <w:r>
        <w:t xml:space="preserve">En cas de manquement grave de l'une des Parties non réparé</w:t>
      </w:r>
      <w:r>
        <w:t xml:space="preserve"> </w:t>
      </w:r>
      <w:r>
        <w:t xml:space="preserve">dans les</w:t>
      </w:r>
      <w:r>
        <w:t xml:space="preserve"> </w:t>
      </w:r>
      <w:r>
        <w:rPr>
          <w:b/>
          <w:bCs/>
        </w:rPr>
        <w:t xml:space="preserve">trente (30) jours</w:t>
      </w:r>
      <w:r>
        <w:t xml:space="preserve"> </w:t>
      </w:r>
      <w:r>
        <w:t xml:space="preserve">suivant mise en demeure écrite, l'autre Partie peut</w:t>
      </w:r>
      <w:r>
        <w:t xml:space="preserve"> </w:t>
      </w:r>
      <w:r>
        <w:t xml:space="preserve">résilier de plein droit, sans préjudice de dommages-intérêts.</w:t>
      </w:r>
    </w:p>
    <w:p>
      <w:pPr>
        <w:pStyle w:val="BodyText"/>
      </w:pPr>
      <w:r>
        <w:rPr>
          <w:b/>
          <w:bCs/>
        </w:rPr>
        <w:t xml:space="preserve">17.2 Pour défaut de paiement.</w:t>
      </w:r>
      <w:r>
        <w:t xml:space="preserve"> </w:t>
      </w:r>
      <w:r>
        <w:t xml:space="preserve">À défaut de régularisation dans les [30] jours</w:t>
      </w:r>
      <w:r>
        <w:t xml:space="preserve"> </w:t>
      </w:r>
      <w:r>
        <w:t xml:space="preserve">suivant la suspension prévue à l'article 5.3, le Prestataire peut résilier de plein</w:t>
      </w:r>
      <w:r>
        <w:t xml:space="preserve"> </w:t>
      </w:r>
      <w:r>
        <w:t xml:space="preserve">droit.</w:t>
      </w:r>
    </w:p>
    <w:p>
      <w:pPr>
        <w:pStyle w:val="BodyText"/>
      </w:pPr>
      <w:r>
        <w:rPr>
          <w:b/>
          <w:bCs/>
        </w:rPr>
        <w:t xml:space="preserve">17.3 Effets.</w:t>
      </w:r>
      <w:r>
        <w:t xml:space="preserve"> </w:t>
      </w:r>
      <w:r>
        <w:t xml:space="preserve">À la date d'effet de la résiliation : l'accès à l'Instance est</w:t>
      </w:r>
      <w:r>
        <w:t xml:space="preserve"> </w:t>
      </w:r>
      <w:r>
        <w:t xml:space="preserve">fermé ; les articles 9 (réversibilité), 13 (confidentialité) et 14 (responsabilité)</w:t>
      </w:r>
      <w:r>
        <w:t xml:space="preserve"> </w:t>
      </w:r>
      <w:r>
        <w:t xml:space="preserve">survivent ; les sommes dues restent exigibles ; les sommes payées d'avance au titre</w:t>
      </w:r>
      <w:r>
        <w:t xml:space="preserve"> </w:t>
      </w:r>
      <w:r>
        <w:t xml:space="preserve">de périodes non entamées sont remboursées au prorata en cas de résiliation pour</w:t>
      </w:r>
      <w:r>
        <w:t xml:space="preserve"> </w:t>
      </w:r>
      <w:r>
        <w:t xml:space="preserve">manquement du Prestataire.</w:t>
      </w:r>
    </w:p>
    <w:bookmarkEnd w:id="26"/>
    <w:bookmarkStart w:id="27" w:name="article-18--force-majeure"/>
    <w:p>
      <w:pPr>
        <w:pStyle w:val="Heading2"/>
      </w:pPr>
      <w:r>
        <w:t xml:space="preserve">ARTICLE 18 — FORCE MAJEURE</w:t>
      </w:r>
    </w:p>
    <w:p>
      <w:pPr>
        <w:pStyle w:val="FirstParagraph"/>
      </w:pPr>
      <w:r>
        <w:t xml:space="preserve">Aucune Partie ne sera responsable d'un manquement causé par un événement de force</w:t>
      </w:r>
      <w:r>
        <w:t xml:space="preserve"> </w:t>
      </w:r>
      <w:r>
        <w:t xml:space="preserve">majeure au sens de la jurisprudence applicable (catastrophe naturelle, guerre,</w:t>
      </w:r>
      <w:r>
        <w:t xml:space="preserve"> </w:t>
      </w:r>
      <w:r>
        <w:t xml:space="preserve">décision d'autorité, défaillance généralisée des réseaux électriques ou de</w:t>
      </w:r>
      <w:r>
        <w:t xml:space="preserve"> </w:t>
      </w:r>
      <w:r>
        <w:t xml:space="preserve">télécommunication…). Si l'événement persiste plus de [60] jours, chaque Partie peut</w:t>
      </w:r>
      <w:r>
        <w:t xml:space="preserve"> </w:t>
      </w:r>
      <w:r>
        <w:t xml:space="preserve">résilier sans indemnité.</w:t>
      </w:r>
    </w:p>
    <w:bookmarkEnd w:id="27"/>
    <w:bookmarkStart w:id="28" w:name="article-19--dispositions-diverses"/>
    <w:p>
      <w:pPr>
        <w:pStyle w:val="Heading2"/>
      </w:pPr>
      <w:r>
        <w:t xml:space="preserve">ARTICLE 19 — DISPOSITIONS DIVERSES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Cession</w:t>
      </w:r>
      <w:r>
        <w:t xml:space="preserve"> </w:t>
      </w:r>
      <w:r>
        <w:t xml:space="preserve">: le Contrat ne peut être cédé par une Partie sans accord écrit de</w:t>
      </w:r>
      <w:r>
        <w:t xml:space="preserve"> </w:t>
      </w:r>
      <w:r>
        <w:t xml:space="preserve">l'autre, sauf cession à une société du même groupe notifiée par écrit.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Non-sollicitation</w:t>
      </w:r>
      <w:r>
        <w:t xml:space="preserve"> </w:t>
      </w:r>
      <w:r>
        <w:t xml:space="preserve">: pendant le Contrat et [12] mois après, chaque Partie</w:t>
      </w:r>
      <w:r>
        <w:t xml:space="preserve"> </w:t>
      </w:r>
      <w:r>
        <w:t xml:space="preserve">s'interdit d'embaucher directement un salarié de l'autre affecté à l'exécution du</w:t>
      </w:r>
      <w:r>
        <w:t xml:space="preserve"> </w:t>
      </w:r>
      <w:r>
        <w:t xml:space="preserve">Contrat, sauf accord écrit.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Intégralité</w:t>
      </w:r>
      <w:r>
        <w:t xml:space="preserve"> </w:t>
      </w:r>
      <w:r>
        <w:t xml:space="preserve">: le Contrat et ses Annexes expriment l'intégralité de l'accord des</w:t>
      </w:r>
      <w:r>
        <w:t xml:space="preserve"> </w:t>
      </w:r>
      <w:r>
        <w:t xml:space="preserve">Parties et prévalent sur tout document antérieur.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Notification</w:t>
      </w:r>
      <w:r>
        <w:t xml:space="preserve"> </w:t>
      </w:r>
      <w:r>
        <w:t xml:space="preserve">: toute notification est valablement faite par écrit (courrier</w:t>
      </w:r>
      <w:r>
        <w:t xml:space="preserve"> </w:t>
      </w:r>
      <w:r>
        <w:t xml:space="preserve">recommandé ou e-mail avec accusé) aux adresses en tête des présentes.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Nullité partielle</w:t>
      </w:r>
      <w:r>
        <w:t xml:space="preserve"> </w:t>
      </w:r>
      <w:r>
        <w:t xml:space="preserve">: la nullité d'une clause n'affecte pas les autres.</w:t>
      </w:r>
    </w:p>
    <w:bookmarkEnd w:id="28"/>
    <w:bookmarkStart w:id="29" w:name="X67e6cbee06e0168e89304d09c44ed821ab49950"/>
    <w:p>
      <w:pPr>
        <w:pStyle w:val="Heading2"/>
      </w:pPr>
      <w:r>
        <w:t xml:space="preserve">ARTICLE 20 — DROIT APPLICABLE ET RÈGLEMENT DES LITIGES</w:t>
      </w:r>
    </w:p>
    <w:p>
      <w:pPr>
        <w:pStyle w:val="FirstParagraph"/>
      </w:pPr>
      <w:r>
        <w:t xml:space="preserve">Le présent Contrat est régi par le droit camerounais et, le cas échéant, par les</w:t>
      </w:r>
      <w:r>
        <w:t xml:space="preserve"> </w:t>
      </w:r>
      <w:r>
        <w:t xml:space="preserve">Actes uniformes OHADA applicables.</w:t>
      </w:r>
    </w:p>
    <w:p>
      <w:pPr>
        <w:pStyle w:val="BodyText"/>
      </w:pPr>
      <w:r>
        <w:t xml:space="preserve">Les Parties s'efforceront de résoudre amiablement tout différend dans un délai de</w:t>
      </w:r>
      <w:r>
        <w:t xml:space="preserve"> </w:t>
      </w:r>
      <w:r>
        <w:t xml:space="preserve">[30] jours à compter de sa notification. À défaut, le litige sera soumis :</w:t>
      </w:r>
      <w:r>
        <w:t xml:space="preserve"> </w:t>
      </w:r>
      <w:r>
        <w:t xml:space="preserve">[au tribunal compétent de (ville), Cameroun]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[à l'arbitrage selon le règlement</w:t>
      </w:r>
      <w:r>
        <w:t xml:space="preserve"> </w:t>
      </w:r>
      <w:r>
        <w:t xml:space="preserve">de la Cour Commune de Justice et d'Arbitrage (CCJA) de l'OHADA, par un arbitre unique,</w:t>
      </w:r>
      <w:r>
        <w:t xml:space="preserve"> </w:t>
      </w:r>
      <w:r>
        <w:t xml:space="preserve">siège à (ville), langue française]</w:t>
      </w:r>
      <w:r>
        <w:t xml:space="preserve"> </w:t>
      </w:r>
      <w:r>
        <w:rPr>
          <w:i/>
          <w:iCs/>
        </w:rPr>
        <w:t xml:space="preserve">(choisir une option)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Fait à [ville], le [date], en deux (2) exemplaires originaux.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Pour le Prestataire</w:t>
            </w:r>
          </w:p>
        </w:tc>
        <w:tc>
          <w:tcPr/>
          <w:p>
            <w:pPr>
              <w:pStyle w:val="Compact"/>
            </w:pPr>
            <w:r>
              <w:t xml:space="preserve">Pour le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[Nom, qualité, signature, cachet]</w:t>
            </w:r>
          </w:p>
        </w:tc>
        <w:tc>
          <w:tcPr/>
          <w:p>
            <w:pPr>
              <w:pStyle w:val="Compact"/>
            </w:pPr>
            <w:r>
              <w:t xml:space="preserve">[Nom, qualité, signature, cachet]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annexe-1--plans-et-conditions-tarifaires"/>
    <w:p>
      <w:pPr>
        <w:pStyle w:val="Heading2"/>
      </w:pPr>
      <w:r>
        <w:t xml:space="preserve">ANNEXE 1 — PLANS ET CONDITIONS TARIFAIRES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Entreprise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mensuel (XAF HT)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[15 000]</w:t>
            </w:r>
          </w:p>
        </w:tc>
        <w:tc>
          <w:tcPr/>
          <w:p>
            <w:pPr>
              <w:pStyle w:val="Compact"/>
            </w:pPr>
            <w:r>
              <w:t xml:space="preserve">Sur devis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inclus</w:t>
            </w:r>
          </w:p>
        </w:tc>
        <w:tc>
          <w:tcPr/>
          <w:p>
            <w:pPr>
              <w:pStyle w:val="Compact"/>
            </w:pPr>
            <w:r>
              <w:t xml:space="preserve">[liste]</w:t>
            </w:r>
          </w:p>
        </w:tc>
        <w:tc>
          <w:tcPr/>
          <w:p>
            <w:pPr>
              <w:pStyle w:val="Compact"/>
            </w:pPr>
            <w:r>
              <w:t xml:space="preserve">[liste]</w:t>
            </w:r>
          </w:p>
        </w:tc>
        <w:tc>
          <w:tcPr/>
          <w:p>
            <w:pPr>
              <w:pStyle w:val="Compact"/>
            </w:pPr>
            <w:r>
              <w:t xml:space="preserve">Tous + sur mesure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Utilisateurs max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Illimité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Colis / mois (indicatif)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Illimité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Ressources (CPU / RAM / disque)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Dédiées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Marque blanche mobile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Inclus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Domaine personnalisé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&amp; webhooks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</w:tbl>
    <w:p>
      <w:pPr>
        <w:pStyle w:val="BodyText"/>
      </w:pPr>
      <w:r>
        <w:t xml:space="preserve">Le détail des Modules activés à la signature : [liste à cocher].</w:t>
      </w:r>
    </w:p>
    <w:bookmarkEnd w:id="30"/>
    <w:bookmarkStart w:id="32" w:name="annexe-2--niveaux-de-service-et-support"/>
    <w:p>
      <w:pPr>
        <w:pStyle w:val="Heading2"/>
      </w:pPr>
      <w:r>
        <w:t xml:space="preserve">ANNEXE 2 — NIVEAUX DE SERVICE ET SUPPORT</w:t>
      </w:r>
    </w:p>
    <w:p>
      <w:pPr>
        <w:pStyle w:val="FirstParagraph"/>
      </w:pPr>
      <w:r>
        <w:rPr>
          <w:b/>
          <w:bCs/>
        </w:rPr>
        <w:t xml:space="preserve">Disponibilité mensuelle cible</w:t>
      </w:r>
      <w:r>
        <w:t xml:space="preserve"> </w:t>
      </w:r>
      <w:r>
        <w:t xml:space="preserve">(hors maintenance programmée et force majeure)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Disponibilité</w:t>
            </w:r>
          </w:p>
        </w:tc>
        <w:tc>
          <w:tcPr/>
          <w:p>
            <w:pPr>
              <w:pStyle w:val="Compact"/>
            </w:pPr>
            <w:r>
              <w:t xml:space="preserve">Avoir si non atteinte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99,0 %</w:t>
            </w:r>
          </w:p>
        </w:tc>
        <w:tc>
          <w:tcPr/>
          <w:p>
            <w:pPr>
              <w:pStyle w:val="Compact"/>
            </w:pPr>
            <w:r>
              <w:t xml:space="preserve">10 % de la mensualité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99,5 %</w:t>
            </w:r>
          </w:p>
        </w:tc>
        <w:tc>
          <w:tcPr/>
          <w:p>
            <w:pPr>
              <w:pStyle w:val="Compact"/>
            </w:pPr>
            <w:r>
              <w:t xml:space="preserve">25 % de la mensualité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Entreprise</w:t>
            </w:r>
          </w:p>
        </w:tc>
        <w:tc>
          <w:tcPr/>
          <w:p>
            <w:pPr>
              <w:pStyle w:val="Compact"/>
            </w:pPr>
            <w:r>
              <w:t xml:space="preserve">99,9 %</w:t>
            </w:r>
          </w:p>
        </w:tc>
        <w:tc>
          <w:tcPr/>
          <w:p>
            <w:pPr>
              <w:pStyle w:val="Compact"/>
            </w:pPr>
            <w:r>
              <w:t xml:space="preserve">50 % de la mensualité</w:t>
            </w:r>
          </w:p>
        </w:tc>
      </w:tr>
    </w:tbl>
    <w:p>
      <w:pPr>
        <w:pStyle w:val="BlockText"/>
      </w:pPr>
      <w:r>
        <w:t xml:space="preserve">Note : ne promettez PAS 99,99 % (page marketing actuelle) tant que</w:t>
      </w:r>
      <w:r>
        <w:t xml:space="preserve"> </w:t>
      </w:r>
      <w:r>
        <w:t xml:space="preserve">l'infrastructure repose sur un VPS unique sans redondance — 99,99 % = moins de</w:t>
      </w:r>
      <w:r>
        <w:t xml:space="preserve"> </w:t>
      </w:r>
      <w:r>
        <w:t xml:space="preserve">4,4 minutes d'indisponibilité par mois, intenable sans haute disponibilité.</w:t>
      </w:r>
    </w:p>
    <w:p>
      <w:pPr>
        <w:pStyle w:val="FirstParagraph"/>
      </w:pPr>
      <w:r>
        <w:rPr>
          <w:b/>
          <w:bCs/>
        </w:rPr>
        <w:t xml:space="preserve">Support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Entreprise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 (</w:t>
            </w:r>
            <w:hyperlink r:id="rId31">
              <w:r>
                <w:rPr>
                  <w:rStyle w:val="Hyperlink"/>
                </w:rPr>
                <w:t xml:space="preserve">support@transitsoftservices.com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intégré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/ téléphone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Délai de première réponse (heures ouvrées)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  <w:tc>
          <w:tcPr/>
          <w:p>
            <w:pPr>
              <w:pStyle w:val="Compact"/>
            </w:pPr>
            <w: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bloquant (production arrêtée)</w:t>
            </w:r>
          </w:p>
        </w:tc>
        <w:tc>
          <w:tcPr/>
          <w:p>
            <w:pPr>
              <w:pStyle w:val="Compact"/>
            </w:pPr>
            <w: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</w:tr>
    </w:tbl>
    <w:p>
      <w:pPr>
        <w:pStyle w:val="BodyText"/>
      </w:pPr>
      <w:r>
        <w:t xml:space="preserve">Heures ouvrées : [lundi–vendredi, 8h–18h, heure de Douala].</w:t>
      </w:r>
    </w:p>
    <w:p>
      <w:pPr>
        <w:pStyle w:val="BodyText"/>
      </w:pPr>
      <w:r>
        <w:rPr>
          <w:b/>
          <w:bCs/>
        </w:rPr>
        <w:t xml:space="preserve">Sauvegardes</w:t>
      </w:r>
      <w:r>
        <w:t xml:space="preserve"> </w:t>
      </w:r>
      <w:r>
        <w:t xml:space="preserve">: quotidiennes + avant chaque mise à jour ; rétention 30 jours ;</w:t>
      </w:r>
      <w:r>
        <w:t xml:space="preserve"> </w:t>
      </w:r>
      <w:r>
        <w:t xml:space="preserve">restauration sur demande ([incluse 1×/mois / facturée au-delà]).</w:t>
      </w:r>
    </w:p>
    <w:bookmarkEnd w:id="32"/>
    <w:bookmarkStart w:id="33" w:name="X109624ec0d6a567811e0fc856326c366620d967"/>
    <w:p>
      <w:pPr>
        <w:pStyle w:val="Heading2"/>
      </w:pPr>
      <w:r>
        <w:t xml:space="preserve">ANNEXE 3 — SOUS-TRAITANTS TECHNIQUES À LA DATE DE SIGNATURE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Sous-traitant</w:t>
            </w:r>
          </w:p>
        </w:tc>
        <w:tc>
          <w:tcPr/>
          <w:p>
            <w:pPr>
              <w:pStyle w:val="Compact"/>
            </w:pPr>
            <w:r>
              <w:t xml:space="preserve">Localisation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Hébergement VPS</w:t>
            </w:r>
          </w:p>
        </w:tc>
        <w:tc>
          <w:tcPr/>
          <w:p>
            <w:pPr>
              <w:pStyle w:val="Compact"/>
            </w:pPr>
            <w:r>
              <w:t xml:space="preserve">[Hetzner / OVH / …]</w:t>
            </w:r>
          </w:p>
        </w:tc>
        <w:tc>
          <w:tcPr/>
          <w:p>
            <w:pPr>
              <w:pStyle w:val="Compact"/>
            </w:pPr>
            <w:r>
              <w:t xml:space="preserve">[UE / …]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E-mails transactionnels</w:t>
            </w:r>
          </w:p>
        </w:tc>
        <w:tc>
          <w:tcPr/>
          <w:p>
            <w:pPr>
              <w:pStyle w:val="Compact"/>
            </w:pPr>
            <w:r>
              <w:t xml:space="preserve">[Resend / SendGrid / SES]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/ WhatsApp</w:t>
            </w:r>
          </w:p>
        </w:tc>
        <w:tc>
          <w:tcPr/>
          <w:p>
            <w:pPr>
              <w:pStyle w:val="Compact"/>
            </w:pPr>
            <w:r>
              <w:t xml:space="preserve">[Twilio / Africa's Talking / Meta]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Paiements</w:t>
            </w:r>
          </w:p>
        </w:tc>
        <w:tc>
          <w:tcPr/>
          <w:p>
            <w:pPr>
              <w:pStyle w:val="Compact"/>
            </w:pPr>
            <w:r>
              <w:t xml:space="preserve">[Campay, Flutterwave, NotchPay, Stripe, TaraMoney]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Messagerie support</w:t>
            </w:r>
          </w:p>
        </w:tc>
        <w:tc>
          <w:tcPr/>
          <w:p>
            <w:pPr>
              <w:pStyle w:val="Compact"/>
            </w:pPr>
            <w:r>
              <w:t xml:space="preserve">[Stream (getstream.io)]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mailto:support@transitsoftservice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mailto:support@transitsoftservic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d'abonnement TransitSoftServices</dc:title>
  <dc:creator/>
  <cp:keywords/>
  <dcterms:created xsi:type="dcterms:W3CDTF">2026-07-02T21:47:33Z</dcterms:created>
  <dcterms:modified xsi:type="dcterms:W3CDTF">2026-07-02T21:47:33Z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