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fontTable.xml" ContentType="application/vnd.openxmlformats-officedocument.wordprocessingml.fontTable+xml"/>
  <Override PartName="/word/comments.xml" ContentType="application/vnd.openxmlformats-officedocument.wordprocessingml.comments+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rPr>
      </w:pPr>
      <w:r>
        <w:rPr>
          <w:b/>
          <w:bCs/>
        </w:rPr>
        <w:t xml:space="preserve">A scientometric approach to antimicrobial resistance forecasting </w:t>
      </w:r>
    </w:p>
    <w:p>
      <w:pPr>
        <w:pStyle w:val="Normal"/>
        <w:rPr/>
      </w:pPr>
      <w:r>
        <w:rPr/>
        <w:t>Michiel Vos</w:t>
      </w:r>
      <w:r>
        <w:rPr>
          <w:vertAlign w:val="superscript"/>
        </w:rPr>
        <w:t>1</w:t>
      </w:r>
      <w:r>
        <w:rPr/>
        <w:t>, STUDENT</w:t>
      </w:r>
      <w:r>
        <w:rPr>
          <w:vertAlign w:val="superscript"/>
        </w:rPr>
        <w:t>2</w:t>
      </w:r>
      <w:r>
        <w:rPr/>
        <w:t>, Richard Bendall</w:t>
      </w:r>
      <w:r>
        <w:rPr>
          <w:vertAlign w:val="superscript"/>
        </w:rPr>
        <w:t>3</w:t>
      </w:r>
      <w:r>
        <w:rPr/>
        <w:t>, Fabrizio Costa</w:t>
      </w:r>
      <w:r>
        <w:rPr>
          <w:vertAlign w:val="superscript"/>
        </w:rPr>
        <w:t>2</w:t>
      </w:r>
      <w:r>
        <w:rPr/>
        <w:t>*</w:t>
      </w:r>
    </w:p>
    <w:p>
      <w:pPr>
        <w:pStyle w:val="Normal"/>
        <w:rPr/>
      </w:pPr>
      <w:r>
        <w:rPr/>
      </w:r>
    </w:p>
    <w:p>
      <w:pPr>
        <w:pStyle w:val="Normal"/>
        <w:rPr/>
      </w:pPr>
      <w:r>
        <w:rPr/>
      </w:r>
    </w:p>
    <w:p>
      <w:pPr>
        <w:pStyle w:val="Normal"/>
        <w:rPr/>
      </w:pPr>
      <w:r>
        <w:rPr/>
        <w:t>1= European Centre for Environment and Human Health, University of Exeter Medical School, Environment and Sustainability Institute, Penryn Campus, TR10 9FE, United Kingdom</w:t>
      </w:r>
    </w:p>
    <w:p>
      <w:pPr>
        <w:pStyle w:val="Normal"/>
        <w:rPr/>
      </w:pPr>
      <w:r>
        <w:rPr/>
        <w:t>2= Department of Computer Science, Faculty of Environment, Science and Economy, University of Exeter, Streatham Campus, EX4 4QF, United Kingdom</w:t>
      </w:r>
    </w:p>
    <w:p>
      <w:pPr>
        <w:pStyle w:val="Normal"/>
        <w:rPr/>
      </w:pPr>
      <w:r>
        <w:rPr/>
        <w:t>3= Kai Ping, Goonvrea, St. Agnes, TR5 0NW, United Kingdom</w:t>
        <w:tab/>
      </w:r>
    </w:p>
    <w:p>
      <w:pPr>
        <w:pStyle w:val="Normal"/>
        <w:rPr/>
      </w:pPr>
      <w:r>
        <w:rPr/>
      </w:r>
    </w:p>
    <w:p>
      <w:pPr>
        <w:pStyle w:val="Normal"/>
        <w:rPr/>
      </w:pPr>
      <w:r>
        <w:rPr/>
        <w:t xml:space="preserve">*= corresponding authors= </w:t>
      </w:r>
      <w:hyperlink r:id="rId2">
        <w:r>
          <w:rPr>
            <w:rStyle w:val="Hyperlink"/>
          </w:rPr>
          <w:t>f.costa@exeter.ac.uk</w:t>
        </w:r>
      </w:hyperlink>
    </w:p>
    <w:p>
      <w:pPr>
        <w:pStyle w:val="Normal"/>
        <w:rPr/>
      </w:pPr>
      <w:r>
        <w:rPr/>
      </w:r>
    </w:p>
    <w:p>
      <w:pPr>
        <w:pStyle w:val="Normal"/>
        <w:rPr/>
      </w:pPr>
      <w:r>
        <w:rPr/>
        <w:t>Keywords: AMR, antibiotic resistance, bacterial pathogens, scientometry, bibliometry, AMR forecasting, Large Language Models, text mining, AMR surveillance</w:t>
      </w:r>
    </w:p>
    <w:p>
      <w:pPr>
        <w:pStyle w:val="Normal"/>
        <w:rPr/>
      </w:pPr>
      <w:r>
        <w:rPr/>
      </w:r>
    </w:p>
    <w:p>
      <w:pPr>
        <w:pStyle w:val="Normal"/>
        <w:rPr>
          <w:b/>
          <w:bCs/>
        </w:rPr>
      </w:pPr>
      <w:r>
        <w:rPr>
          <w:b/>
          <w:bCs/>
        </w:rPr>
        <w:t>Introduction</w:t>
      </w:r>
    </w:p>
    <w:p>
      <w:pPr>
        <w:pStyle w:val="Normal"/>
        <w:rPr/>
      </w:pPr>
      <w:r>
        <w:rPr/>
        <w:t xml:space="preserve">Antimicrobial resistance (AMR) is one of the main challenges to global public health, associated with almost 5 million deaths globally in 2019, a number which could increase substantially in the future </w:t>
      </w:r>
      <w:r>
        <w:fldChar w:fldCharType="begin"/>
      </w:r>
      <w:r>
        <w:rPr/>
        <w:instrText xml:space="preserve">ADDIN EN.CITE &lt;EndNote&gt;&lt;Cite&gt;&lt;Author&gt;Murray&lt;/Author&gt;&lt;Year&gt;2022&lt;/Year&gt;&lt;RecNum&gt;3564&lt;/RecNum&gt;&lt;DisplayText&gt;[1]&lt;/DisplayText&gt;&lt;record&gt;&lt;rec-number&gt;3564&lt;/rec-number&gt;&lt;foreign-keys&gt;&lt;key app="EN" db-id="xeasf5zxnptdtnevpsa5sa2hd5vesz2aawfx" timestamp="1715244616"&gt;3564&lt;/key&gt;&lt;/foreign-keys&gt;&lt;ref-type name="Journal Article"&gt;17&lt;/ref-type&gt;&lt;contributors&gt;&lt;authors&gt;&lt;author&gt;Murray, Christopher JL&lt;/author&gt;&lt;author&gt;Ikuta, Kevin Shunji&lt;/author&gt;&lt;author&gt;Sharara, Fablina&lt;/author&gt;&lt;author&gt;Swetschinski, Lucien&lt;/author&gt;&lt;author&gt;Aguilar, Gisela Robles&lt;/author&gt;&lt;author&gt;Gray, Authia&lt;/author&gt;&lt;author&gt;Han, Chieh&lt;/author&gt;&lt;author&gt;Bisignano, Catherine&lt;/author&gt;&lt;author&gt;Rao, Puja&lt;/author&gt;&lt;author&gt;Wool, Eve&lt;/author&gt;&lt;/authors&gt;&lt;/contributors&gt;&lt;titles&gt;&lt;title&gt;Global burden of bacterial antimicrobial resistance in 2019: a systematic analysis&lt;/title&gt;&lt;secondary-title&gt;The lancet&lt;/secondary-title&gt;&lt;/titles&gt;&lt;periodical&gt;&lt;full-title&gt;The Lancet&lt;/full-title&gt;&lt;/periodical&gt;&lt;pages&gt;629-655&lt;/pages&gt;&lt;volume&gt;399&lt;/volume&gt;&lt;number&gt;10325&lt;/number&gt;&lt;dates&gt;&lt;year&gt;2022&lt;/year&gt;&lt;/dates&gt;&lt;isbn&gt;0140-6736&lt;/isbn&gt;&lt;urls&gt;&lt;/urls&gt;&lt;/record&gt;&lt;/Cite&gt;&lt;/EndNote&gt;</w:instrText>
      </w:r>
      <w:r>
        <w:rPr/>
      </w:r>
      <w:r>
        <w:rPr/>
        <w:fldChar w:fldCharType="separate"/>
      </w:r>
      <w:r>
        <w:rPr/>
        <w:t>[1]</w:t>
      </w:r>
      <w:r>
        <w:rPr/>
      </w:r>
      <w:r>
        <w:rPr/>
        <w:fldChar w:fldCharType="end"/>
      </w:r>
      <w:r>
        <w:rPr/>
        <w:t xml:space="preserve">. A wide variety of measures are in place to control the spread of AMR, including </w:t>
      </w:r>
      <w:commentRangeStart w:id="0"/>
      <w:r>
        <w:rPr/>
        <w:t xml:space="preserve">antibiotic </w:t>
      </w:r>
      <w:r>
        <w:rPr/>
      </w:r>
      <w:commentRangeEnd w:id="0"/>
      <w:r>
        <w:commentReference w:id="0"/>
      </w:r>
      <w:r>
        <w:rPr/>
        <w:t xml:space="preserve">stewardship and regulation REF, improved sanitation REF, development of new drugs REF and diagnostics REFs as well as multidisciplinary, OneHealth research efforts REF. A relatively new tool in the combat against AMR is AMR forecasting, which aims to predict future emergence of resistance </w:t>
      </w:r>
      <w:r>
        <w:fldChar w:fldCharType="begin"/>
      </w:r>
      <w:r>
        <w:rPr/>
        <w:instrText xml:space="preserve">ADDIN EN.CITE &lt;EndNote&gt;&lt;Cite&gt;&lt;Author&gt;Rolff&lt;/Author&gt;&lt;Year&gt;2024&lt;/Year&gt;&lt;RecNum&gt;3865&lt;/RecNum&gt;&lt;DisplayText&gt;[2]&lt;/DisplayText&gt;&lt;record&gt;&lt;rec-number&gt;3865&lt;/rec-number&gt;&lt;foreign-keys&gt;&lt;key app="EN" db-id="xeasf5zxnptdtnevpsa5sa2hd5vesz2aawfx" timestamp="1779446287"&gt;3865&lt;/key&gt;&lt;/foreign-keys&gt;&lt;ref-type name="Journal Article"&gt;17&lt;/ref-type&gt;&lt;contributors&gt;&lt;authors&gt;&lt;author&gt;Rolff, Jens&lt;/author&gt;&lt;author&gt;Bonhoeffer, Sebastian&lt;/author&gt;&lt;author&gt;Kloft, Charlotte&lt;/author&gt;&lt;author&gt;Leistner, Rasmus&lt;/author&gt;&lt;author&gt;Regoes, Roland&lt;/author&gt;&lt;author&gt;Hochberg, Michael E&lt;/author&gt;&lt;/authors&gt;&lt;/contributors&gt;&lt;titles&gt;&lt;title&gt;Forecasting antimicrobial resistance evolution&lt;/title&gt;&lt;secondary-title&gt;Trends in microbiology&lt;/secondary-title&gt;&lt;/titles&gt;&lt;periodical&gt;&lt;full-title&gt;Trends in microbiology&lt;/full-title&gt;&lt;/periodical&gt;&lt;pages&gt;736-745&lt;/pages&gt;&lt;volume&gt;32&lt;/volume&gt;&lt;number&gt;8&lt;/number&gt;&lt;dates&gt;&lt;year&gt;2024&lt;/year&gt;&lt;/dates&gt;&lt;isbn&gt;0966-842X&lt;/isbn&gt;&lt;urls&gt;&lt;/urls&gt;&lt;/record&gt;&lt;/Cite&gt;&lt;/EndNote&gt;</w:instrText>
      </w:r>
      <w:r>
        <w:rPr/>
      </w:r>
      <w:r>
        <w:rPr/>
        <w:fldChar w:fldCharType="separate"/>
      </w:r>
      <w:r>
        <w:rPr/>
        <w:t>[2]</w:t>
      </w:r>
      <w:r>
        <w:rPr/>
      </w:r>
      <w:r>
        <w:rPr/>
        <w:fldChar w:fldCharType="end"/>
      </w:r>
      <w:r>
        <w:rPr/>
        <w:t xml:space="preserve">. AMR forecasting can take different forms, from using pharmacodynamic models to predict resistance evolution </w:t>
      </w:r>
      <w:r>
        <w:fldChar w:fldCharType="begin"/>
      </w:r>
      <w:r>
        <w:rPr/>
        <w:instrText xml:space="preserve">ADDIN EN.CITE &lt;EndNote&gt;&lt;Cite&gt;&lt;Author&gt;Yu&lt;/Author&gt;&lt;Year&gt;2018&lt;/Year&gt;&lt;RecNum&gt;3894&lt;/RecNum&gt;&lt;DisplayText&gt;[3]&lt;/DisplayText&gt;&lt;record&gt;&lt;rec-number&gt;3894&lt;/rec-number&gt;&lt;foreign-keys&gt;&lt;key app="EN" db-id="xeasf5zxnptdtnevpsa5sa2hd5vesz2aawfx" timestamp="1784656602"&gt;3894&lt;/key&gt;&lt;/foreign-keys&gt;&lt;ref-type name="Journal Article"&gt;17&lt;/ref-type&gt;&lt;contributors&gt;&lt;authors&gt;&lt;author&gt;Yu, Guozhi&lt;/author&gt;&lt;author&gt;Baeder, Desiree Y&lt;/author&gt;&lt;author&gt;Regoes, Roland R&lt;/author&gt;&lt;author&gt;Rolff, Jens&lt;/author&gt;&lt;/authors&gt;&lt;/contributors&gt;&lt;titles&gt;&lt;title&gt;Predicting drug resistance evolution: insights from antimicrobial peptides and antibiotics&lt;/title&gt;&lt;secondary-title&gt;Proceedings of the Royal Society B: Biological Sciences&lt;/secondary-title&gt;&lt;/titles&gt;&lt;periodical&gt;&lt;full-title&gt;Proceedings of the Royal Society B: Biological Sciences&lt;/full-title&gt;&lt;/periodical&gt;&lt;pages&gt;20172687&lt;/pages&gt;&lt;volume&gt;285&lt;/volume&gt;&lt;number&gt;1874&lt;/number&gt;&lt;dates&gt;&lt;year&gt;2018&lt;/year&gt;&lt;/dates&gt;&lt;urls&gt;&lt;/urls&gt;&lt;/record&gt;&lt;/Cite&gt;&lt;/EndNote&gt;</w:instrText>
      </w:r>
      <w:r>
        <w:rPr/>
      </w:r>
      <w:r>
        <w:rPr/>
        <w:fldChar w:fldCharType="separate"/>
      </w:r>
      <w:r>
        <w:rPr/>
        <w:t>[3]</w:t>
      </w:r>
      <w:r>
        <w:rPr/>
      </w:r>
      <w:r>
        <w:rPr/>
        <w:fldChar w:fldCharType="end"/>
      </w:r>
      <w:r>
        <w:rPr/>
        <w:t xml:space="preserve">, to using genomics to predict the potential future dissemination of resistance genes </w:t>
      </w:r>
      <w:r>
        <w:fldChar w:fldCharType="begin"/>
      </w:r>
      <w:r>
        <w:rPr/>
        <w:instrText xml:space="preserve">ADDIN EN.CITE &lt;EndNote&gt;&lt;Cite&gt;&lt;Author&gt;Ellabaan&lt;/Author&gt;&lt;Year&gt;2021&lt;/Year&gt;&lt;RecNum&gt;3895&lt;/RecNum&gt;&lt;DisplayText&gt;[4]&lt;/DisplayText&gt;&lt;record&gt;&lt;rec-number&gt;3895&lt;/rec-number&gt;&lt;foreign-keys&gt;&lt;key app="EN" db-id="xeasf5zxnptdtnevpsa5sa2hd5vesz2aawfx" timestamp="1784657009"&gt;3895&lt;/key&gt;&lt;/foreign-keys&gt;&lt;ref-type name="Journal Article"&gt;17&lt;/ref-type&gt;&lt;contributors&gt;&lt;authors&gt;&lt;author&gt;Ellabaan, Mostafa MH&lt;/author&gt;&lt;author&gt;Munck, Christian&lt;/author&gt;&lt;author&gt;Porse, Andreas&lt;/author&gt;&lt;author&gt;Imamovic, Lejla&lt;/author&gt;&lt;author&gt;Sommer, Morten OA&lt;/author&gt;&lt;/authors&gt;&lt;/contributors&gt;&lt;titles&gt;&lt;title&gt;Forecasting the dissemination of antibiotic resistance genes across bacterial genomes&lt;/title&gt;&lt;secondary-title&gt;Nature communications&lt;/secondary-title&gt;&lt;/titles&gt;&lt;periodical&gt;&lt;full-title&gt;Nature communications&lt;/full-title&gt;&lt;/periodical&gt;&lt;pages&gt;2435&lt;/pages&gt;&lt;volume&gt;12&lt;/volume&gt;&lt;number&gt;1&lt;/number&gt;&lt;dates&gt;&lt;year&gt;2021&lt;/year&gt;&lt;/dates&gt;&lt;isbn&gt;2041-1723&lt;/isbn&gt;&lt;urls&gt;&lt;/urls&gt;&lt;/record&gt;&lt;/Cite&gt;&lt;/EndNote&gt;</w:instrText>
      </w:r>
      <w:r>
        <w:rPr/>
      </w:r>
      <w:r>
        <w:rPr/>
        <w:fldChar w:fldCharType="separate"/>
      </w:r>
      <w:r>
        <w:rPr/>
        <w:t>[4]</w:t>
      </w:r>
      <w:r>
        <w:rPr/>
      </w:r>
      <w:r>
        <w:rPr/>
        <w:fldChar w:fldCharType="end"/>
      </w:r>
      <w:r>
        <w:rPr/>
        <w:t xml:space="preserve">, to using timeseries of antimicrobial consumption data to predict phenotypic resistance </w:t>
      </w:r>
      <w:r>
        <w:fldChar w:fldCharType="begin"/>
      </w:r>
      <w:r>
        <w:rPr/>
        <w:instrText xml:space="preserve">ADDIN EN.CITE &lt;EndNote&gt;&lt;Cite&gt;&lt;Author&gt;Gharbi&lt;/Author&gt;&lt;Year&gt;2015&lt;/Year&gt;&lt;RecNum&gt;3897&lt;/RecNum&gt;&lt;DisplayText&gt;[5]&lt;/DisplayText&gt;&lt;record&gt;&lt;rec-number&gt;3897&lt;/rec-number&gt;&lt;foreign-keys&gt;&lt;key app="EN" db-id="xeasf5zxnptdtnevpsa5sa2hd5vesz2aawfx" timestamp="1784657829"&gt;3897&lt;/key&gt;&lt;/foreign-keys&gt;&lt;ref-type name="Journal Article"&gt;17&lt;/ref-type&gt;&lt;contributors&gt;&lt;authors&gt;&lt;author&gt;Gharbi, M&lt;/author&gt;&lt;author&gt;Moore, LSP&lt;/author&gt;&lt;author&gt;Gilchrist, M&lt;/author&gt;&lt;author&gt;Thomas, CP&lt;/author&gt;&lt;author&gt;Bamford, K&lt;/author&gt;&lt;author&gt;Brannigan, ET&lt;/author&gt;&lt;author&gt;Holmes, AH&lt;/author&gt;&lt;/authors&gt;&lt;/contributors&gt;&lt;titles&gt;&lt;title&gt;Forecasting carbapenem resistance from antimicrobial consumption surveillance: lessons learnt from an OXA-48-producing Klebsiella pneumoniae outbreak in a West London renal unit&lt;/title&gt;&lt;secondary-title&gt;International journal of antimicrobial agents&lt;/secondary-title&gt;&lt;/titles&gt;&lt;periodical&gt;&lt;full-title&gt;International journal of antimicrobial agents&lt;/full-title&gt;&lt;/periodical&gt;&lt;pages&gt;150-156&lt;/pages&gt;&lt;volume&gt;46&lt;/volume&gt;&lt;number&gt;2&lt;/number&gt;&lt;dates&gt;&lt;year&gt;2015&lt;/year&gt;&lt;/dates&gt;&lt;isbn&gt;0924-8579&lt;/isbn&gt;&lt;urls&gt;&lt;/urls&gt;&lt;/record&gt;&lt;/Cite&gt;&lt;/EndNote&gt;</w:instrText>
      </w:r>
      <w:r>
        <w:rPr/>
      </w:r>
      <w:r>
        <w:rPr/>
        <w:fldChar w:fldCharType="separate"/>
      </w:r>
      <w:r>
        <w:rPr/>
        <w:t>[5]</w:t>
      </w:r>
      <w:r>
        <w:rPr/>
      </w:r>
      <w:r>
        <w:rPr/>
        <w:fldChar w:fldCharType="end"/>
      </w:r>
      <w:r>
        <w:rPr/>
        <w:t xml:space="preserve">. Bibliometric approaches have been taken to map past and current AMR publication trends </w:t>
      </w:r>
      <w:r>
        <w:fldChar w:fldCharType="begin"/>
      </w:r>
      <w:r>
        <w:rPr/>
        <w:instrText xml:space="preserve">ADDIN EN.CITE</w:instrText>
      </w:r>
      <w:r>
        <w:rPr/>
      </w:r>
      <w:r>
        <w:fldChar w:fldCharType="begin"/>
      </w:r>
      <w:r>
        <w:rPr/>
        <w:instrText xml:space="preserve">ADDIN EN.CITE.DATA</w:instrText>
      </w:r>
      <w:r>
        <w:rPr/>
      </w:r>
      <w:r>
        <w:rPr/>
        <w:fldChar w:fldCharType="separate"/>
      </w:r>
      <w:r>
        <w:rPr/>
      </w:r>
      <w:r>
        <w:rPr/>
      </w:r>
      <w:r>
        <w:rPr/>
        <w:fldChar w:fldCharType="end"/>
      </w:r>
      <w:r>
        <w:rPr/>
        <w:fldChar w:fldCharType="separate"/>
      </w:r>
      <w:r>
        <w:rPr/>
        <w:t>[6-8]</w:t>
      </w:r>
      <w:r>
        <w:rPr/>
      </w:r>
      <w:r>
        <w:rPr/>
        <w:fldChar w:fldCharType="end"/>
      </w:r>
      <w:r>
        <w:rPr/>
        <w:t xml:space="preserve">, but generally these have not explicitly aimed to predict future scenarios. </w:t>
      </w:r>
    </w:p>
    <w:p>
      <w:pPr>
        <w:pStyle w:val="Normal"/>
        <w:rPr/>
      </w:pPr>
      <w:r>
        <w:rPr/>
        <w:t>We describe an AI-assisted scientometric workflow that uses PubMed records to measure scientific attention to pathogen–antibiotic resistance pairs. Synonym-aware searches identify candidate records by pathogen and antibiotic terms together with resistance, nonsusceptibility, susceptibility, or microbial-sensitivity cues. An automated System 1 classifier then assesses whether each title and abstract supports the specified pair. For each pair and year, accepted records contribute to a screened publication count. We compare these counts with the contemporaneous publication activity for each pathogen and antibiotic separately to estimate the Scientific Interest index (AMR-SI) and describe its historical trajectory and projected continuation.</w:t>
      </w:r>
    </w:p>
    <w:p>
      <w:pPr>
        <w:pStyle w:val="Normal"/>
        <w:rPr/>
      </w:pPr>
      <w:r>
        <w:rPr/>
        <w:t>AMR-SI measures attention in the indexed literature, not resistance prevalence, incidence, clinical burden, or transmission. It does not distinguish among definitions of resistance: an abstract may describe gene carriage, phenotypic testing, or results based on different minimum inhibitory concentration thresholds. It also does not identify the lag between detection and publication or record geographic location. The retrieval is not limited to human clinical studies, and a publication may contribute to more than one pathogen–antibiotic pair. The method is intended as a repeatable, updateable view of published research attention that can complement, but not replace, laboratory and public-health surveillance.</w:t>
      </w:r>
    </w:p>
    <w:p>
      <w:pPr>
        <w:pStyle w:val="Normal"/>
        <w:rPr/>
      </w:pPr>
      <w:r>
        <w:rPr/>
        <w:t>We describe the retrieval, screening, and AMR-SI workflow and use selected examples to compare its historical signals with previously reported trends. We then use the fitted trajectories to identify pathogen–antibiotic pairs for further surveillance consideration and compare this prioritisation with pairs included in the World Health Organization Global Antimicrobial Resistance and Use Surveillance System (GLASS).</w:t>
      </w:r>
    </w:p>
    <w:p>
      <w:pPr>
        <w:pStyle w:val="Normal"/>
        <w:rPr/>
      </w:pPr>
      <w:r>
        <w:rPr/>
      </w:r>
    </w:p>
    <w:p>
      <w:pPr>
        <w:pStyle w:val="Normal"/>
        <w:rPr>
          <w:b/>
          <w:bCs/>
        </w:rPr>
      </w:pPr>
      <w:r>
        <w:rPr>
          <w:b/>
          <w:bCs/>
        </w:rPr>
        <w:t>Methods</w:t>
      </w:r>
    </w:p>
    <w:p>
      <w:pPr>
        <w:pStyle w:val="Normal"/>
        <w:rPr>
          <w:u w:val="single"/>
        </w:rPr>
      </w:pPr>
      <w:r>
        <w:rPr>
          <w:u w:val="single"/>
        </w:rPr>
        <w:t>Literature retrieval and AMR screening</w:t>
      </w:r>
    </w:p>
    <w:p>
      <w:pPr>
        <w:pStyle w:val="Normal"/>
        <w:rPr/>
      </w:pPr>
      <w:r>
        <w:rPr/>
        <w:t>We queried PubMed for records with publication dates from 2000 through 2026. The active configuration included all 915 pathogen names with a positive pathogenicity index from the ranked pathogen list and all 245 canonical antibiotics. For each entity, synonym-expanded Title/Abstract terms were combined with an AMR/susceptibility clause: the bacterial or microbial drug-resistance and microbial-sensitivity MeSH terms, or Title/Abstract terms for resistance, nonsusceptibility, susceptibility, or antibiotic, antimicrobial, and drug sensitivity. Each candidate record was linked to the queried pathogen–antibiotic pair and assigned a publication year from PubMed metadata. The same PMID could therefore be retrieved for multiple pairs; counts below refer to pair–PMID associations unless stated otherwise. Separate synonym-aware searches for each pathogen and each antibiotic supplied the annual background publication counts. Rows lacking either background count were excluded before model fitting. Pair eligibility required at least 50 screened publications over 2000–2025, at least 10 years with valid counts, and yearly pair counts of at least three when included in the SI fit.</w:t>
      </w:r>
      <w:r>
        <w:rPr/>
        <w:commentReference w:id="1"/>
      </w:r>
      <w:r>
        <w:rPr/>
        <w:commentReference w:id="2"/>
      </w:r>
      <w:r>
        <w:rPr/>
        <w:commentReference w:id="3"/>
      </w:r>
      <w:r>
        <w:rPr/>
        <w:commentReference w:id="4"/>
      </w:r>
      <w:r>
        <w:rPr/>
        <w:commentReference w:id="5"/>
      </w:r>
      <w:r>
        <w:rPr/>
        <w:commentReference w:id="6"/>
      </w:r>
      <w:r>
        <w:rPr/>
        <w:commentReference w:id="7"/>
      </w:r>
      <w:r>
        <w:rPr/>
        <w:commentReference w:id="8"/>
      </w:r>
      <w:r>
        <w:rPr/>
        <w:commentReference w:id="9"/>
      </w:r>
      <w:r>
        <w:rPr/>
        <w:commentReference w:id="10"/>
      </w:r>
      <w:r>
        <w:rPr/>
        <w:commentReference w:id="11"/>
      </w:r>
    </w:p>
    <w:p>
      <w:pPr>
        <w:pStyle w:val="Heading2"/>
        <w:rPr>
          <w:rFonts w:ascii="Aptos" w:hAnsi="Aptos"/>
          <w:color w:val="auto"/>
          <w:sz w:val="24"/>
          <w:szCs w:val="24"/>
          <w:u w:val="single"/>
        </w:rPr>
      </w:pPr>
      <w:r>
        <w:rPr>
          <w:rFonts w:ascii="Aptos" w:hAnsi="Aptos"/>
          <w:color w:val="auto"/>
          <w:sz w:val="24"/>
          <w:szCs w:val="24"/>
          <w:u w:val="single"/>
        </w:rPr>
        <w:t>Pooled background-attention model</w:t>
      </w:r>
    </w:p>
    <w:p>
      <w:pPr>
        <w:pStyle w:val="Normal"/>
        <w:rPr/>
      </w:pPr>
      <w:r>
        <w:rPr/>
        <w:t>We estimated the annual screened AMR publication count expected from general attention to the pathogen and antibiotic using one model pooled across retained pathogen–antibiotic–year observations. Counts and background counts were transformed as log10(1 + x) to accommodate zeros and reduce the influence of highly published entities. For pathogen i, antibiotic j, and year t, the fitted model was</w:t>
      </w:r>
      <w:r>
        <w:rPr/>
        <w:commentReference w:id="12"/>
      </w:r>
    </w:p>
    <w:p>
      <w:pPr>
        <w:pStyle w:val="ListParagraph"/>
        <w:numPr>
          <w:ilvl w:val="0"/>
          <w:numId w:val="2"/>
        </w:numPr>
        <w:rPr/>
      </w:pPr>
      <w:r>
        <w:rPr>
          <w:i/>
        </w:rPr>
        <w:t>log10(1 + C</w:t>
      </w:r>
      <w:r>
        <w:rPr>
          <w:rFonts w:cs="Arial" w:ascii="Arial" w:hAnsi="Arial"/>
          <w:i/>
        </w:rPr>
        <w:t>ᵢⱼ</w:t>
      </w:r>
      <w:r>
        <w:rPr>
          <w:rFonts w:cs="Cambria Math" w:ascii="Cambria Math" w:hAnsi="Cambria Math"/>
          <w:i/>
        </w:rPr>
        <w:t>ₜ</w:t>
      </w:r>
      <w:r>
        <w:rPr>
          <w:i/>
        </w:rPr>
        <w:t>) = α + u</w:t>
      </w:r>
      <w:r>
        <w:rPr>
          <w:rFonts w:cs="Arial" w:ascii="Arial" w:hAnsi="Arial"/>
          <w:i/>
        </w:rPr>
        <w:t>ᵢ</w:t>
      </w:r>
      <w:r>
        <w:rPr>
          <w:i/>
        </w:rPr>
        <w:t xml:space="preserve"> + v</w:t>
      </w:r>
      <w:r>
        <w:rPr>
          <w:rFonts w:cs="Arial" w:ascii="Arial" w:hAnsi="Arial"/>
          <w:i/>
        </w:rPr>
        <w:t>ⱼ</w:t>
      </w:r>
      <w:r>
        <w:rPr>
          <w:i/>
        </w:rPr>
        <w:t xml:space="preserve"> + </w:t>
      </w:r>
      <w:r>
        <w:rPr>
          <w:rFonts w:cs="Aptos"/>
          <w:i/>
        </w:rPr>
        <w:t>β</w:t>
      </w:r>
      <w:r>
        <w:rPr>
          <w:rFonts w:cs="Cambria Math" w:ascii="Cambria Math" w:hAnsi="Cambria Math"/>
          <w:i/>
        </w:rPr>
        <w:t>ₚ</w:t>
      </w:r>
      <w:r>
        <w:rPr>
          <w:i/>
        </w:rPr>
        <w:t xml:space="preserve"> log10(1 + B</w:t>
      </w:r>
      <w:r>
        <w:rPr>
          <w:rFonts w:cs="Arial" w:ascii="Arial" w:hAnsi="Arial"/>
          <w:i/>
        </w:rPr>
        <w:t>ᵖᵢ</w:t>
      </w:r>
      <w:r>
        <w:rPr>
          <w:rFonts w:cs="Cambria Math" w:ascii="Cambria Math" w:hAnsi="Cambria Math"/>
          <w:i/>
        </w:rPr>
        <w:t>ₜ</w:t>
      </w:r>
      <w:r>
        <w:rPr>
          <w:i/>
        </w:rPr>
        <w:t>) + β</w:t>
      </w:r>
      <w:r>
        <w:rPr>
          <w:rFonts w:cs="Cambria Math" w:ascii="Cambria Math" w:hAnsi="Cambria Math"/>
          <w:i/>
        </w:rPr>
        <w:t>ₐ</w:t>
      </w:r>
      <w:r>
        <w:rPr>
          <w:i/>
        </w:rPr>
        <w:t xml:space="preserve"> log10(1 + B</w:t>
      </w:r>
      <w:r>
        <w:rPr>
          <w:rFonts w:cs="Arial" w:ascii="Arial" w:hAnsi="Arial"/>
          <w:i/>
        </w:rPr>
        <w:t>ᵃⱼ</w:t>
      </w:r>
      <w:r>
        <w:rPr>
          <w:rFonts w:cs="Cambria Math" w:ascii="Cambria Math" w:hAnsi="Cambria Math"/>
          <w:i/>
        </w:rPr>
        <w:t>ₜ</w:t>
      </w:r>
      <w:r>
        <w:rPr>
          <w:i/>
        </w:rPr>
        <w:t>) + ε</w:t>
      </w:r>
      <w:r>
        <w:rPr>
          <w:rFonts w:cs="Arial" w:ascii="Arial" w:hAnsi="Arial"/>
          <w:i/>
        </w:rPr>
        <w:t>ᵢⱼ</w:t>
      </w:r>
      <w:r>
        <w:rPr>
          <w:rFonts w:cs="Cambria Math" w:ascii="Cambria Math" w:hAnsi="Cambria Math"/>
          <w:i/>
        </w:rPr>
        <w:t>ₜ</w:t>
      </w:r>
      <w:r>
        <w:rPr>
          <w:i/>
        </w:rPr>
        <w:t>,</w:t>
      </w:r>
    </w:p>
    <w:p>
      <w:pPr>
        <w:pStyle w:val="Normal"/>
        <w:rPr/>
      </w:pPr>
      <w:r>
        <w:rPr/>
        <w:t>where C</w:t>
      </w:r>
      <w:r>
        <w:rPr>
          <w:rFonts w:cs="Arial" w:ascii="Arial" w:hAnsi="Arial"/>
        </w:rPr>
        <w:t>ᵢⱼ</w:t>
      </w:r>
      <w:r>
        <w:rPr>
          <w:rFonts w:cs="Cambria Math" w:ascii="Cambria Math" w:hAnsi="Cambria Math"/>
        </w:rPr>
        <w:t>ₜ</w:t>
      </w:r>
      <w:r>
        <w:rPr/>
        <w:t xml:space="preserve"> is the screened AMR publication count, B</w:t>
      </w:r>
      <w:r>
        <w:rPr>
          <w:rFonts w:cs="Arial" w:ascii="Arial" w:hAnsi="Arial"/>
        </w:rPr>
        <w:t>ᵖᵢ</w:t>
      </w:r>
      <w:r>
        <w:rPr>
          <w:rFonts w:cs="Cambria Math" w:ascii="Cambria Math" w:hAnsi="Cambria Math"/>
        </w:rPr>
        <w:t>ₜ</w:t>
      </w:r>
      <w:r>
        <w:rPr/>
        <w:t xml:space="preserve"> and B</w:t>
      </w:r>
      <w:r>
        <w:rPr>
          <w:rFonts w:cs="Arial" w:ascii="Arial" w:hAnsi="Arial"/>
        </w:rPr>
        <w:t>ᵃⱼ</w:t>
      </w:r>
      <w:r>
        <w:rPr>
          <w:rFonts w:cs="Cambria Math" w:ascii="Cambria Math" w:hAnsi="Cambria Math"/>
        </w:rPr>
        <w:t>ₜ</w:t>
      </w:r>
      <w:r>
        <w:rPr/>
        <w:t xml:space="preserve"> are the pathogen and antibiotic background counts, α is the intercept, and u</w:t>
      </w:r>
      <w:r>
        <w:rPr>
          <w:rFonts w:cs="Arial" w:ascii="Arial" w:hAnsi="Arial"/>
        </w:rPr>
        <w:t>ᵢ</w:t>
      </w:r>
      <w:r>
        <w:rPr/>
        <w:t xml:space="preserve"> and v</w:t>
      </w:r>
      <w:r>
        <w:rPr>
          <w:rFonts w:cs="Arial" w:ascii="Arial" w:hAnsi="Arial"/>
        </w:rPr>
        <w:t>ⱼ</w:t>
      </w:r>
      <w:r>
        <w:rPr/>
        <w:t xml:space="preserve"> are pathogen- and antibiotic-specific effects. </w:t>
      </w:r>
      <w:commentRangeStart w:id="13"/>
      <w:r>
        <w:rPr/>
        <w:t xml:space="preserve">Pathogen and antibiotic identities were represented by one-hot indicator variables. </w:t>
      </w:r>
      <w:r>
        <w:rPr/>
      </w:r>
      <w:commentRangeEnd w:id="13"/>
      <w:r>
        <w:commentReference w:id="13"/>
      </w:r>
      <w:r>
        <w:rPr/>
        <w:t xml:space="preserve">All coefficients were estimated jointly by ridge regression with penalty parameter </w:t>
      </w:r>
      <w:r>
        <w:rPr>
          <w:rFonts w:cs="Aptos" w:ascii="Aptos" w:hAnsi="Aptos"/>
        </w:rPr>
        <w:t>α</w:t>
      </w:r>
      <w:r>
        <w:rPr/>
        <w:t xml:space="preserve">ridge = </w:t>
      </w:r>
      <w:commentRangeStart w:id="14"/>
      <w:r>
        <w:rPr/>
        <w:t>1</w:t>
      </w:r>
      <w:r>
        <w:rPr/>
      </w:r>
      <w:commentRangeEnd w:id="14"/>
      <w:r>
        <w:commentReference w:id="14"/>
      </w:r>
      <w:r>
        <w:rPr/>
        <w:t xml:space="preserve">. Regularization stabilized estimates across the many categorical indicators and sparsely represented </w:t>
      </w:r>
      <w:commentRangeStart w:id="15"/>
      <w:r>
        <w:rPr/>
        <w:t>pairs</w:t>
      </w:r>
      <w:r>
        <w:rPr/>
      </w:r>
      <w:commentRangeEnd w:id="15"/>
      <w:r>
        <w:commentReference w:id="15"/>
      </w:r>
      <w:r>
        <w:rPr/>
        <w:t>. Back-transformed expected counts were calculated as 10</w:t>
      </w:r>
      <w:r>
        <w:rPr>
          <w:rFonts w:cs="Arial" w:ascii="Arial" w:hAnsi="Arial"/>
        </w:rPr>
        <w:t>ʸ</w:t>
      </w:r>
      <w:r>
        <w:rPr>
          <w:rFonts w:cs="Aptos" w:ascii="Aptos" w:hAnsi="Aptos"/>
        </w:rPr>
        <w:t>̂</w:t>
      </w:r>
      <w:r>
        <w:rPr/>
        <w:t xml:space="preserve"> </w:t>
      </w:r>
      <w:r>
        <w:rPr>
          <w:rFonts w:cs="Aptos" w:ascii="Aptos" w:hAnsi="Aptos"/>
        </w:rPr>
        <w:t>−</w:t>
      </w:r>
      <w:r>
        <w:rPr/>
        <w:t xml:space="preserve"> 1 and truncated at zero.</w:t>
      </w:r>
    </w:p>
    <w:p>
      <w:pPr>
        <w:pStyle w:val="Heading2"/>
        <w:rPr>
          <w:rFonts w:ascii="Aptos" w:hAnsi="Aptos"/>
          <w:color w:val="auto"/>
          <w:sz w:val="24"/>
          <w:szCs w:val="24"/>
          <w:u w:val="single"/>
        </w:rPr>
      </w:pPr>
      <w:r>
        <w:rPr>
          <w:rFonts w:ascii="Aptos" w:hAnsi="Aptos"/>
          <w:color w:val="auto"/>
          <w:sz w:val="24"/>
          <w:szCs w:val="24"/>
          <w:u w:val="single"/>
        </w:rPr>
        <w:t>Scientific Interest index</w:t>
      </w:r>
    </w:p>
    <w:p>
      <w:pPr>
        <w:pStyle w:val="Normal"/>
        <w:rPr/>
      </w:pPr>
      <w:r>
        <w:rPr/>
        <w:t>Scientific Interest (SI) was defined on the same base-10 logarithmic scale as the residual from the pooled model:</w:t>
      </w:r>
    </w:p>
    <w:p>
      <w:pPr>
        <w:pStyle w:val="ListParagraph"/>
        <w:numPr>
          <w:ilvl w:val="0"/>
          <w:numId w:val="2"/>
        </w:numPr>
        <w:rPr/>
      </w:pPr>
      <w:r>
        <w:rPr>
          <w:i/>
        </w:rPr>
        <w:t>SI</w:t>
      </w:r>
      <w:r>
        <w:rPr>
          <w:rFonts w:cs="Arial" w:ascii="Arial" w:hAnsi="Arial"/>
          <w:i/>
        </w:rPr>
        <w:t>ᵢⱼ</w:t>
      </w:r>
      <w:r>
        <w:rPr>
          <w:rFonts w:cs="Cambria Math" w:ascii="Cambria Math" w:hAnsi="Cambria Math"/>
          <w:i/>
        </w:rPr>
        <w:t>ₜ</w:t>
      </w:r>
      <w:r>
        <w:rPr>
          <w:i/>
        </w:rPr>
        <w:t xml:space="preserve"> = log10(1 + C</w:t>
      </w:r>
      <w:r>
        <w:rPr>
          <w:rFonts w:cs="Arial" w:ascii="Arial" w:hAnsi="Arial"/>
          <w:i/>
        </w:rPr>
        <w:t>ᵢⱼ</w:t>
      </w:r>
      <w:r>
        <w:rPr>
          <w:rFonts w:cs="Cambria Math" w:ascii="Cambria Math" w:hAnsi="Cambria Math"/>
          <w:i/>
        </w:rPr>
        <w:t>ₜ</w:t>
      </w:r>
      <w:r>
        <w:rPr>
          <w:i/>
        </w:rPr>
        <w:t>) − ŷ</w:t>
      </w:r>
      <w:r>
        <w:rPr>
          <w:rFonts w:cs="Arial" w:ascii="Arial" w:hAnsi="Arial"/>
          <w:i/>
        </w:rPr>
        <w:t>ᵢⱼ</w:t>
      </w:r>
      <w:r>
        <w:rPr>
          <w:rFonts w:cs="Cambria Math" w:ascii="Cambria Math" w:hAnsi="Cambria Math"/>
          <w:i/>
        </w:rPr>
        <w:t>ₜ</w:t>
      </w:r>
      <w:r>
        <w:rPr>
          <w:i/>
        </w:rPr>
        <w:t>,</w:t>
      </w:r>
    </w:p>
    <w:p>
      <w:pPr>
        <w:pStyle w:val="Normal"/>
        <w:rPr/>
      </w:pPr>
      <w:r>
        <w:rPr/>
        <w:t>where ŷ</w:t>
      </w:r>
      <w:r>
        <w:rPr>
          <w:rFonts w:cs="Arial" w:ascii="Arial" w:hAnsi="Arial"/>
        </w:rPr>
        <w:t>ᵢⱼ</w:t>
      </w:r>
      <w:r>
        <w:rPr>
          <w:rFonts w:cs="Cambria Math" w:ascii="Cambria Math" w:hAnsi="Cambria Math"/>
        </w:rPr>
        <w:t>ₜ</w:t>
      </w:r>
      <w:r>
        <w:rPr/>
        <w:t xml:space="preserve"> is the expected log count from the pooled background-attention model. A positive SI indicates more pair-specific AMR literature than expected from the publication activity on pathogen and antibiotic separately; negative SI indicates less pair-specific AMR literature. </w:t>
      </w:r>
    </w:p>
    <w:p>
      <w:pPr>
        <w:pStyle w:val="Heading2"/>
        <w:rPr>
          <w:rFonts w:ascii="Aptos" w:hAnsi="Aptos"/>
          <w:color w:val="auto"/>
          <w:sz w:val="24"/>
          <w:szCs w:val="24"/>
          <w:u w:val="single"/>
        </w:rPr>
      </w:pPr>
      <w:r>
        <w:rPr>
          <w:rFonts w:ascii="Aptos" w:hAnsi="Aptos"/>
          <w:color w:val="auto"/>
          <w:sz w:val="24"/>
          <w:szCs w:val="24"/>
          <w:u w:val="single"/>
        </w:rPr>
        <w:t>Temporal modelling and extrapolation</w:t>
      </w:r>
    </w:p>
    <w:p>
      <w:pPr>
        <w:pStyle w:val="Normal"/>
        <w:rPr/>
      </w:pPr>
      <w:r>
        <w:rPr/>
        <w:t xml:space="preserve">Temporal models were fitted separately for each pathogen–antibiotic pair. A degree-one </w:t>
      </w:r>
      <w:commentRangeStart w:id="16"/>
      <w:r>
        <w:rPr/>
        <w:t>LOESS smoothe</w:t>
      </w:r>
      <w:r>
        <w:rPr/>
      </w:r>
      <w:commentRangeEnd w:id="16"/>
      <w:r>
        <w:commentReference w:id="16"/>
      </w:r>
      <w:r>
        <w:rPr/>
        <w:t xml:space="preserve">r with span 0.6 was applied to the annual </w:t>
      </w:r>
      <w:commentRangeStart w:id="17"/>
      <w:r>
        <w:rPr/>
        <w:t xml:space="preserve">screened AMR counts </w:t>
      </w:r>
      <w:r>
        <w:rPr/>
      </w:r>
      <w:commentRangeEnd w:id="17"/>
      <w:r>
        <w:commentReference w:id="17"/>
      </w:r>
      <w:r>
        <w:rPr/>
        <w:t>after log10(1 + x) transformation. SI itself was not smoothed directly. Instead, a second LOESS curve with the same settings was fitted to the annual expected log counts from the pooled model. Predicted SI at year t was then derived as the difference between the smoothed pair-specific count trajectory and the smoothed expected-count trajectory:</w:t>
      </w:r>
    </w:p>
    <w:p>
      <w:pPr>
        <w:pStyle w:val="ListParagraph"/>
        <w:numPr>
          <w:ilvl w:val="0"/>
          <w:numId w:val="2"/>
        </w:numPr>
        <w:rPr/>
      </w:pPr>
      <w:r>
        <w:rPr>
          <w:i/>
        </w:rPr>
        <w:t>SÎ</w:t>
      </w:r>
      <w:r>
        <w:rPr>
          <w:rFonts w:cs="Arial" w:ascii="Arial" w:hAnsi="Arial"/>
          <w:i/>
        </w:rPr>
        <w:t>ᵢⱼ</w:t>
      </w:r>
      <w:r>
        <w:rPr>
          <w:rFonts w:cs="Cambria Math" w:ascii="Cambria Math" w:hAnsi="Cambria Math"/>
          <w:i/>
        </w:rPr>
        <w:t>ₜ</w:t>
      </w:r>
      <w:r>
        <w:rPr>
          <w:i/>
        </w:rPr>
        <w:t xml:space="preserve"> = Ĉ</w:t>
      </w:r>
      <w:r>
        <w:rPr>
          <w:rFonts w:cs="Arial" w:ascii="Arial" w:hAnsi="Arial"/>
          <w:i/>
        </w:rPr>
        <w:t>ᶫᵒᵍᵢⱼ</w:t>
      </w:r>
      <w:r>
        <w:rPr>
          <w:rFonts w:cs="Cambria Math" w:ascii="Cambria Math" w:hAnsi="Cambria Math"/>
          <w:i/>
        </w:rPr>
        <w:t>ₜ</w:t>
      </w:r>
      <w:r>
        <w:rPr>
          <w:i/>
        </w:rPr>
        <w:t xml:space="preserve"> − B̂</w:t>
      </w:r>
      <w:r>
        <w:rPr>
          <w:rFonts w:cs="Arial" w:ascii="Arial" w:hAnsi="Arial"/>
          <w:i/>
        </w:rPr>
        <w:t>ᶫᵒᵍᵢⱼ</w:t>
      </w:r>
      <w:r>
        <w:rPr>
          <w:rFonts w:cs="Cambria Math" w:ascii="Cambria Math" w:hAnsi="Cambria Math"/>
          <w:i/>
        </w:rPr>
        <w:t>ₜ</w:t>
      </w:r>
      <w:r>
        <w:rPr>
          <w:i/>
        </w:rPr>
        <w:t>.</w:t>
      </w:r>
    </w:p>
    <w:p>
      <w:pPr>
        <w:pStyle w:val="Normal"/>
        <w:rPr/>
      </w:pPr>
      <w:r>
        <w:rPr/>
        <w:t xml:space="preserve">This count-first construction preserves the interpretation of SI as excess publication activity relative to a contemporaneous background baseline. At least three observed years were required for a pair-level fit. If the LOESS implementation was unavailable or could not fit a curve, </w:t>
      </w:r>
      <w:commentRangeStart w:id="18"/>
      <w:r>
        <w:rPr/>
        <w:t xml:space="preserve">the software </w:t>
      </w:r>
      <w:r>
        <w:rPr/>
      </w:r>
      <w:commentRangeEnd w:id="18"/>
      <w:r>
        <w:commentReference w:id="18"/>
      </w:r>
      <w:r>
        <w:rPr/>
        <w:t>used a linear regression on the transformed counts as a fallback.</w:t>
      </w:r>
    </w:p>
    <w:p>
      <w:pPr>
        <w:pStyle w:val="Normal"/>
        <w:rPr/>
      </w:pPr>
      <w:r>
        <w:rPr/>
        <w:t>For extrapolation beyond the fitted interval, each LOESS curve was extended from its final fitted value using the slope between its last two fitted annual values. The 2030 forecast extends the curve fitted through 2025 from its 2025 reference value; no tail damping was applied. Because linear continuation on a logarithmic scale can imply rapid multiplicative growth, these forecasts are trend projections rather than calibrated epidemiological predictions.</w:t>
      </w:r>
      <w:r>
        <w:rPr/>
        <w:commentReference w:id="19"/>
      </w:r>
      <w:r>
        <w:rPr/>
        <w:commentReference w:id="20"/>
      </w:r>
    </w:p>
    <w:p>
      <w:pPr>
        <w:pStyle w:val="Heading2"/>
        <w:rPr>
          <w:rFonts w:ascii="Aptos" w:hAnsi="Aptos"/>
          <w:color w:val="auto"/>
          <w:sz w:val="24"/>
          <w:szCs w:val="24"/>
          <w:u w:val="single"/>
        </w:rPr>
      </w:pPr>
      <w:commentRangeStart w:id="21"/>
      <w:r>
        <w:rPr>
          <w:rFonts w:ascii="Aptos" w:hAnsi="Aptos"/>
          <w:color w:val="auto"/>
          <w:sz w:val="24"/>
          <w:szCs w:val="24"/>
          <w:u w:val="single"/>
        </w:rPr>
        <w:t>Validation</w:t>
      </w:r>
      <w:r>
        <w:rPr/>
      </w:r>
      <w:commentRangeEnd w:id="21"/>
      <w:r>
        <w:commentReference w:id="21"/>
      </w:r>
      <w:r>
        <w:rPr>
          <w:rFonts w:ascii="Aptos" w:hAnsi="Aptos"/>
          <w:color w:val="auto"/>
          <w:sz w:val="24"/>
          <w:szCs w:val="24"/>
          <w:u w:val="single"/>
        </w:rPr>
        <w:t>, uncertainty, and prioritization</w:t>
      </w:r>
    </w:p>
    <w:p>
      <w:pPr>
        <w:pStyle w:val="Normal"/>
        <w:rPr/>
      </w:pPr>
      <w:r>
        <w:rPr/>
        <w:t>To assess short-term extrapolation, an auxiliary ranking model was fitted through 2023 and evaluated against the complete post-fit years 2024 and 2025. The workflow recorded absolute and percentage errors for SI and publication counts. Within-curve fit was summarized as the mean squared difference between observed and smoothed SI over the curve-fitting interval. For visualization, empirical bands were formed by adding and subtracting one sample standard deviation of the training residuals around the LOESS log-count curve; the same residual spread was propagated to the derived SI curve. These bands describe residual variation and are not confidence or predictive intervals. Forecast pairs were ranked by predicted SI change from 2025 to 2030. The strict shortlist required predicted publication counts of at least 10 in both years, at least 15 observed screened publications in 2025, an SI increase of at least 0.01, at least one post-fit validation year, and mean absolute percentage SI error no greater than 100%. The saved shortlist contains 127 pairs, all of which passed the strict filters; the configured fallback was not used.</w:t>
      </w:r>
    </w:p>
    <w:p>
      <w:pPr>
        <w:pStyle w:val="Normal"/>
        <w:rPr/>
      </w:pPr>
      <w:r>
        <w:rPr/>
      </w:r>
    </w:p>
    <w:p>
      <w:pPr>
        <w:pStyle w:val="Normal"/>
        <w:rPr>
          <w:b/>
          <w:bCs/>
        </w:rPr>
      </w:pPr>
      <w:r>
        <w:rPr>
          <w:b/>
          <w:bCs/>
        </w:rPr>
        <w:t>Results</w:t>
      </w:r>
    </w:p>
    <w:p>
      <w:pPr>
        <w:pStyle w:val="Normal"/>
        <w:rPr>
          <w:u w:val="single"/>
        </w:rPr>
      </w:pPr>
      <w:r>
        <w:rPr>
          <w:u w:val="single"/>
        </w:rPr>
        <w:t>Automated retrieval of PubMed-indexed abstracts on AMR in pathogenic bacteria</w:t>
      </w:r>
    </w:p>
    <w:p>
      <w:pPr>
        <w:pStyle w:val="Normal"/>
        <w:rPr/>
      </w:pPr>
      <w:r>
        <w:rPr/>
        <w:t>The active collection configuration uses synonym-expanded Title/Abstract searches for 915 pathogen names and 245 antibiotics, together with a resistance and susceptibility clause, across publication years 2000–2026. The current saved candidate snapshot contains 514,470 pathogen–antibiotic–PMID associations covering 128,007 unique PMIDs and 21,435 observed pairs. These association counts are not counts of distinct abstracts because one PMID may be associated with several target pairs. The saved candidate output contains 97,575 pair–year rows.</w:t>
      </w:r>
    </w:p>
    <w:p>
      <w:pPr>
        <w:pStyle w:val="Normal"/>
        <w:rPr/>
      </w:pPr>
      <w:r>
        <w:rPr/>
        <w:t>Screening used the active System 1 route with Jev model typesafe/jev-1.13 (served model recorded as typesafe/jev-1.13-20260917), question version amr-pair-support-noul-v1, and run ID jev-1.13-amr-support-v1. Successful predictions matched to the current candidate set were retained at p_yes ≥ 0.75. Joining on PMID, pathogen, antibiotic, and year yields 306,718 accepted pair–PMID–year instances, represented by 64,721 pair–year rows across 15,539 pathogen–antibiotic pairs. The saved SI output contains 644 eligible pairs across 58 pathogens and 96 antibiotics.</w:t>
      </w:r>
    </w:p>
    <w:p>
      <w:pPr>
        <w:pStyle w:val="Normal"/>
        <w:rPr/>
      </w:pPr>
      <w:r>
        <w:rPr/>
        <w:t>[These counts describe the current saved outputs before refreshing the cached PubMed intervals to apply the updated AMR/susceptibility query. Regenerate the collection and downstream screening and SI outputs, then replace the counts and add the final run date before submission.]</w:t>
      </w:r>
    </w:p>
    <w:p>
      <w:pPr>
        <w:pStyle w:val="Normal"/>
        <w:rPr/>
      </w:pPr>
      <w:r>
        <w:rPr/>
        <w:t>Figure 1 summarizes candidate retrieval, pair-level System 1 screening, and SI eligibility. It reports pair–PMID associations separately from unique PMIDs because a single record may be linked to multiple target pairs. The PubMed corpus is the search universe; the project queried matching records rather than downloading and locally filtering the entire corpus.</w:t>
      </w:r>
      <w:r>
        <w:rPr/>
        <w:commentReference w:id="22"/>
      </w:r>
      <w:r>
        <w:rPr/>
        <w:commentReference w:id="23"/>
      </w:r>
      <w:r>
        <w:rPr/>
        <w:commentReference w:id="24"/>
      </w:r>
    </w:p>
    <w:p>
      <w:pPr>
        <w:pStyle w:val="Normal"/>
        <w:rPr/>
      </w:pPr>
      <w:r>
        <w:rPr/>
        <w:drawing>
          <wp:inline distT="0" distB="0" distL="0" distR="0">
            <wp:extent cx="2302510" cy="241554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3"/>
                    <a:stretch>
                      <a:fillRect/>
                    </a:stretch>
                  </pic:blipFill>
                  <pic:spPr bwMode="auto">
                    <a:xfrm>
                      <a:off x="0" y="0"/>
                      <a:ext cx="2302510" cy="2415540"/>
                    </a:xfrm>
                    <a:prstGeom prst="rect">
                      <a:avLst/>
                    </a:prstGeom>
                    <a:noFill/>
                  </pic:spPr>
                </pic:pic>
              </a:graphicData>
            </a:graphic>
          </wp:inline>
        </w:drawing>
      </w:r>
    </w:p>
    <w:p>
      <w:pPr>
        <w:pStyle w:val="Normal"/>
        <w:rPr/>
      </w:pPr>
      <w:r>
        <w:rPr/>
      </w:r>
    </w:p>
    <w:p>
      <w:pPr>
        <w:pStyle w:val="Normal"/>
        <w:rPr/>
      </w:pPr>
      <w:r>
        <w:rPr/>
        <w:t>Figure 1. PubMed retrieval and AMR pair screening. Counts in the current saved outputs are 514,470 pathogen–antibiotic–PMID associations (128,007 unique PMIDs; 21,435 observed pairs), 306,718 accepted pair–PMID–year instances after System 1 screening, and 644 pairs eligible for SI analysis. A PMID may contribute to more than one pair. The retrieval and downstream outputs require regeneration after the configured PubMed interval refresh; counts should be updated from that final run.</w:t>
      </w:r>
    </w:p>
    <w:p>
      <w:pPr>
        <w:pStyle w:val="Normal"/>
        <w:rPr>
          <w:u w:val="single"/>
        </w:rPr>
      </w:pPr>
      <w:r>
        <w:rPr>
          <w:u w:val="single"/>
        </w:rPr>
        <w:t xml:space="preserve">An automated measure of scientific interest in antibiotic resistance recapitulates known </w:t>
      </w:r>
      <w:commentRangeStart w:id="25"/>
      <w:r>
        <w:rPr>
          <w:u w:val="single"/>
        </w:rPr>
        <w:t>trends</w:t>
      </w:r>
      <w:commentRangeEnd w:id="25"/>
      <w:r>
        <w:commentReference w:id="25"/>
      </w:r>
      <w:r>
        <w:rPr/>
      </w:r>
    </w:p>
    <w:p>
      <w:pPr>
        <w:pStyle w:val="Normal"/>
        <w:rPr/>
      </w:pPr>
      <w:r>
        <w:rPr/>
        <w:t>For each eligible pathogen–antibiotic pair, we calculated annual AMR-SI from the screened publication count after controlling for overall publication activity mentioning the same pathogen and antibiotic individually (Methods). Eligibility required at least 50 screened pair publications over 2000–2025, at least 10 valid years, and available pathogen and antibiotic background counts; annual pair counts below three were treated as unavailable. In the saved output, 644 pairs met the SI criteria. Positive AMR-SI indicates more pair-specific AMR publication activity than expected from the separate background counts; negative AMR-SI indicates less. The index measures scientific attention, not resistance prevalence or clinical burden.</w:t>
      </w:r>
    </w:p>
    <w:p>
      <w:pPr>
        <w:pStyle w:val="Normal"/>
        <w:rPr/>
      </w:pPr>
      <w:r>
        <w:rPr/>
        <w:t>Plotting AMR-SI over time captures well-established trends in resistance evolution. DESCRIBE 4 GOOD EXAMPLES OF CONTRASTING TRENDS HERE, REFER TO OLDER PAPERS DESCRIBING THESE SAME TRENDS</w:t>
      </w:r>
    </w:p>
    <w:p>
      <w:pPr>
        <w:pStyle w:val="Normal"/>
        <w:rPr/>
      </w:pPr>
      <w:r>
        <w:rPr/>
      </w:r>
    </w:p>
    <w:p>
      <w:pPr>
        <w:pStyle w:val="Normal"/>
        <w:rPr/>
      </w:pPr>
      <w:r>
        <w:rPr/>
      </w:r>
    </w:p>
    <w:p>
      <w:pPr>
        <w:pStyle w:val="Normal"/>
        <w:rPr/>
      </w:pPr>
      <w:r>
        <w:rPr/>
        <w:t>Figure 2.ABCD four distinct species-antibiotic trends.</w:t>
      </w:r>
    </w:p>
    <w:p>
      <w:pPr>
        <w:pStyle w:val="Normal"/>
        <w:rPr/>
      </w:pPr>
      <w:r>
        <w:rPr/>
      </w:r>
    </w:p>
    <w:p>
      <w:pPr>
        <w:pStyle w:val="Normal"/>
        <w:rPr>
          <w:u w:val="single"/>
        </w:rPr>
      </w:pPr>
      <w:r>
        <w:rPr>
          <w:u w:val="single"/>
        </w:rPr>
        <w:t xml:space="preserve">Past and current scientific interest can be used to predict future </w:t>
      </w:r>
      <w:commentRangeStart w:id="26"/>
      <w:r>
        <w:rPr>
          <w:u w:val="single"/>
        </w:rPr>
        <w:t xml:space="preserve">trends </w:t>
      </w:r>
      <w:commentRangeEnd w:id="26"/>
      <w:r>
        <w:commentReference w:id="26"/>
      </w:r>
      <w:r>
        <w:rPr/>
      </w:r>
    </w:p>
    <w:p>
      <w:pPr>
        <w:pStyle w:val="Normal"/>
        <w:rPr/>
      </w:pPr>
      <w:r>
        <w:rPr/>
        <w:t>The ranking model was fitted through 2023, assessed against 2024 and 2025, and used to identify pairs whose fitted SI trajectory could be projected from the 2025 reference year to 2030. The strict shortlist required predicted counts of at least 10 in both 2025 and 2030, at least 15 observed screened publications in 2025, SI growth of at least 0.01, at least one post-fit validation year, and mean absolute percentage SI error no greater than 100%. The saved strict shortlist contains 127 pairs; no fallback pairs were added.</w:t>
      </w:r>
    </w:p>
    <w:p>
      <w:pPr>
        <w:pStyle w:val="Normal"/>
        <w:rPr/>
      </w:pPr>
      <w:r>
        <w:rPr/>
        <w:t xml:space="preserve">EXPLAIN FIG 3 </w:t>
      </w:r>
    </w:p>
    <w:p>
      <w:pPr>
        <w:pStyle w:val="Normal"/>
        <w:rPr/>
      </w:pPr>
      <w:r>
        <w:rPr/>
        <w:t>Explain discrepancies with GLASS list</w:t>
      </w:r>
    </w:p>
    <w:p>
      <w:pPr>
        <w:pStyle w:val="Normal"/>
        <w:rPr/>
      </w:pPr>
      <w:r>
        <w:rPr/>
      </w:r>
    </w:p>
    <w:p>
      <w:pPr>
        <w:pStyle w:val="Normal"/>
        <w:rPr/>
      </w:pPr>
      <w:r>
        <w:rPr/>
        <w:t xml:space="preserve">Figure 3. AMR-SI predicted for 2030 applied to X pathogen species-antibiotic pairs with TRESHOLD HERE. </w:t>
      </w:r>
    </w:p>
    <w:p>
      <w:pPr>
        <w:pStyle w:val="Normal"/>
        <w:rPr/>
      </w:pPr>
      <w:r>
        <w:rPr/>
        <w:t xml:space="preserve"> </w:t>
      </w:r>
    </w:p>
    <w:p>
      <w:pPr>
        <w:pStyle w:val="Normal"/>
        <w:rPr>
          <w:b/>
          <w:bCs/>
        </w:rPr>
      </w:pPr>
      <w:commentRangeStart w:id="27"/>
      <w:r>
        <w:rPr>
          <w:b/>
          <w:bCs/>
        </w:rPr>
        <w:t>Discussion</w:t>
      </w:r>
      <w:commentRangeEnd w:id="27"/>
      <w:r>
        <w:commentReference w:id="27"/>
      </w:r>
      <w:r>
        <w:rPr/>
      </w:r>
    </w:p>
    <w:p>
      <w:pPr>
        <w:pStyle w:val="Normal"/>
        <w:rPr/>
      </w:pPr>
      <w:r>
        <w:rPr/>
        <w:t xml:space="preserve">International surveillance is a crucial tool in efforts to contain the spread of AMR, allowing monitoring changes in specific resistance prevalences over time, detecting emerging threats, identifying high-risk pathogen species, resistance genes and transmission pathways, help develop evidence-based treatment recommendations and update national prescribing guidelines REFS. </w:t>
      </w:r>
    </w:p>
    <w:p>
      <w:pPr>
        <w:pStyle w:val="Normal"/>
        <w:rPr/>
      </w:pPr>
      <w:r>
        <w:rPr/>
        <w:t>Recap and novelty</w:t>
      </w:r>
    </w:p>
    <w:p>
      <w:pPr>
        <w:pStyle w:val="Normal"/>
        <w:rPr/>
      </w:pPr>
      <w:r>
        <w:rPr/>
        <w:t>By enabling early detection, tracking dissemination, informing clinical practice, guiding policy, and coordinating international responses, surveillance is one of the foundational pillars of efforts to contain the AMR crisis. Without robust international surveillance, resistant pathogens would spread largely undetected until they become established, making outbreaks more difficult and costly to control.</w:t>
      </w:r>
    </w:p>
    <w:p>
      <w:pPr>
        <w:pStyle w:val="Normal"/>
        <w:rPr/>
      </w:pPr>
      <w:r>
        <w:rPr/>
        <w:t>Our literature-based approach is completely separate from standardised, clone-by-clone lab analyses complete with details on patient, location and date and could never supplant it, but it could complement it.</w:t>
      </w:r>
    </w:p>
    <w:p>
      <w:pPr>
        <w:pStyle w:val="Normal"/>
        <w:rPr/>
      </w:pPr>
      <w:r>
        <w:rPr/>
        <w:t xml:space="preserve">AMR surveillance data are based on resistance profiles from hospital- and other laboratories by public health agencies which aggregate and analyse the data for trends and outbreaks. After expert review and interpretation this data is then shared through networks such as the World Health Organization Global Antimicrobial Resistance and Use Surveillance System (GLASS) REF, </w:t>
      </w:r>
    </w:p>
    <w:p>
      <w:pPr>
        <w:pStyle w:val="Normal"/>
        <w:rPr/>
      </w:pPr>
      <w:r>
        <w:rPr/>
      </w:r>
    </w:p>
    <w:p>
      <w:pPr>
        <w:pStyle w:val="Normal"/>
        <w:rPr/>
      </w:pPr>
      <w:r>
        <w:rPr/>
        <w:t>Caveats:</w:t>
      </w:r>
    </w:p>
    <w:p>
      <w:pPr>
        <w:pStyle w:val="Normal"/>
        <w:rPr/>
      </w:pPr>
      <w:r>
        <w:rPr/>
        <w:t>Miss papers that only mention antibiotic class</w:t>
      </w:r>
    </w:p>
    <w:p>
      <w:pPr>
        <w:pStyle w:val="Normal"/>
        <w:rPr/>
      </w:pPr>
      <w:r>
        <w:rPr/>
        <w:t>Bad paper = bad llm performance, ask Richard example</w:t>
      </w:r>
    </w:p>
    <w:p>
      <w:pPr>
        <w:pStyle w:val="Normal"/>
        <w:rPr/>
      </w:pPr>
      <w:r>
        <w:rPr/>
        <w:t>Quality LLM</w:t>
      </w:r>
    </w:p>
    <w:p>
      <w:pPr>
        <w:pStyle w:val="Normal"/>
        <w:rPr/>
      </w:pPr>
      <w:r>
        <w:rPr/>
        <w:t>Moreover, abstracts can refer to a single strain or collections of strains,</w:t>
      </w:r>
    </w:p>
    <w:p>
      <w:pPr>
        <w:pStyle w:val="Normal"/>
        <w:rPr/>
      </w:pPr>
      <w:r>
        <w:rPr/>
        <w:t>Resistance is resistance, so E coli vancomycin resistance is counted as well</w:t>
      </w:r>
    </w:p>
    <w:p>
      <w:pPr>
        <w:pStyle w:val="Normal"/>
        <w:rPr/>
      </w:pPr>
      <w:r>
        <w:rPr/>
        <w:t>Data is fuzzy but trends shine through</w:t>
      </w:r>
    </w:p>
    <w:p>
      <w:pPr>
        <w:pStyle w:val="Normal"/>
        <w:rPr/>
      </w:pPr>
      <w:r>
        <w:rPr/>
        <w:t>Future modifications</w:t>
      </w:r>
    </w:p>
    <w:p>
      <w:pPr>
        <w:pStyle w:val="Normal"/>
        <w:spacing w:before="0" w:after="160"/>
        <w:rPr/>
      </w:pPr>
      <w:r>
        <w:rPr/>
        <w:t>Conclusion From eminence to evidence based science</w:t>
      </w:r>
    </w:p>
    <w:sectPr>
      <w:footerReference w:type="default" r:id="rId4"/>
      <w:type w:val="nextPage"/>
      <w:pgSz w:w="11906" w:h="16838"/>
      <w:pgMar w:left="1440" w:right="1440" w:gutter="0" w:header="0" w:top="1440" w:footer="708"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Vos, Michiel" w:date="2026-09-14T17:54:00Z" w:initials="MV">
    <w:p>
      <w:pPr>
        <w:spacing w:lineRule="auto" w:line="240" w:before="0" w:after="0"/>
        <w:rPr/>
      </w:pPr>
      <w:r>
        <w:annotationRef/>
      </w:r>
      <w:r>
        <w:rPr>
          <w:rFonts w:cs="Linux Libertine G"/>
        </w:rPr>
        <w:t>Feel free to change (tracked changes), this is a bit rough in places</w:t>
      </w:r>
    </w:p>
  </w:comment>
  <w:comment w:id="1" w:author="Vos, Michiel" w:date="2026-09-14T11:04:00Z" w:initials="MV">
    <w:p>
      <w:pPr>
        <w:spacing w:lineRule="auto" w:line="240" w:before="0" w:after="0"/>
        <w:rPr/>
      </w:pPr>
      <w:r>
        <w:annotationRef/>
      </w:r>
      <w:r>
        <w:rPr>
          <w:rFonts w:cs="Linux Libertine G"/>
        </w:rPr>
        <w:t>Add date</w:t>
      </w:r>
    </w:p>
  </w:comment>
  <w:comment w:id="2" w:author="Vos, Michiel" w:date="2026-09-14T11:04:00Z" w:initials="MV">
    <w:p>
      <w:pPr>
        <w:spacing w:lineRule="auto" w:line="240" w:before="0" w:after="0"/>
        <w:rPr/>
      </w:pPr>
      <w:r>
        <w:annotationRef/>
      </w:r>
      <w:r>
        <w:rPr>
          <w:rFonts w:cs="Linux Libertine G"/>
        </w:rPr>
        <w:t>REF?</w:t>
      </w:r>
    </w:p>
  </w:comment>
  <w:comment w:id="3" w:author="Vos, Michiel" w:date="2026-09-14T11:04:00Z" w:initials="MV">
    <w:p>
      <w:pPr>
        <w:spacing w:lineRule="auto" w:line="240" w:before="0" w:after="0"/>
        <w:rPr/>
      </w:pPr>
      <w:r>
        <w:annotationRef/>
      </w:r>
      <w:r>
        <w:rPr>
          <w:rFonts w:cs="Linux Libertine G"/>
        </w:rPr>
        <w:t>Add bounds</w:t>
      </w:r>
    </w:p>
  </w:comment>
  <w:comment w:id="4" w:author="Vos, Michiel" w:date="2026-09-14T11:06:00Z" w:initials="MV">
    <w:p>
      <w:pPr>
        <w:spacing w:lineRule="auto" w:line="240" w:before="0" w:after="0"/>
        <w:rPr/>
      </w:pPr>
      <w:r>
        <w:annotationRef/>
      </w:r>
      <w:r>
        <w:rPr>
          <w:rFonts w:cs="Linux Libertine G"/>
        </w:rPr>
        <w:t>Would be good to add pre and post deduplciation abstact nrs to Fig 1.</w:t>
      </w:r>
    </w:p>
  </w:comment>
  <w:comment w:id="5" w:author="Vos, Michiel" w:date="2026-09-14T11:16:00Z" w:initials="MV">
    <w:p>
      <w:pPr>
        <w:spacing w:lineRule="auto" w:line="240" w:before="0" w:after="0"/>
        <w:rPr/>
      </w:pPr>
      <w:r>
        <w:annotationRef/>
      </w:r>
      <w:r>
        <w:rPr>
          <w:rFonts w:cs="Linux Libertine G"/>
        </w:rPr>
        <w:t>Need info on model used</w:t>
      </w:r>
    </w:p>
  </w:comment>
  <w:comment w:id="6" w:author="Vos, Michiel" w:date="2026-09-14T11:18:00Z" w:initials="MV">
    <w:p>
      <w:pPr>
        <w:spacing w:lineRule="auto" w:line="240" w:before="0" w:after="0"/>
        <w:rPr/>
      </w:pPr>
      <w:r>
        <w:annotationRef/>
      </w:r>
      <w:r>
        <w:rPr>
          <w:rFonts w:cs="Linux Libertine G"/>
        </w:rPr>
        <w:t>Can you paste it in at the end of the doc plse?</w:t>
      </w:r>
    </w:p>
  </w:comment>
  <w:comment w:id="7" w:author="Vos, Michiel" w:date="2026-09-14T11:19:00Z" w:initials="MV">
    <w:p>
      <w:pPr>
        <w:spacing w:lineRule="auto" w:line="240" w:before="0" w:after="0"/>
        <w:rPr/>
      </w:pPr>
      <w:r>
        <w:annotationRef/>
      </w:r>
      <w:r>
        <w:rPr>
          <w:rFonts w:cs="Linux Libertine G"/>
        </w:rPr>
        <w:t>Is 2</w:t>
      </w:r>
      <w:r>
        <w:rPr>
          <w:rFonts w:cs="Linux Libertine G"/>
          <w:vertAlign w:val="superscript"/>
        </w:rPr>
        <w:t>nd</w:t>
      </w:r>
      <w:r>
        <w:rPr>
          <w:rFonts w:cs="Linux Libertine G"/>
        </w:rPr>
        <w:t xml:space="preserve"> step in Fig 1 right?</w:t>
      </w:r>
    </w:p>
  </w:comment>
  <w:comment w:id="8" w:author="Vos, Michiel" w:date="2026-09-14T11:20:00Z" w:initials="MV">
    <w:p>
      <w:pPr>
        <w:spacing w:lineRule="auto" w:line="240" w:before="0" w:after="0"/>
        <w:rPr/>
      </w:pPr>
      <w:r>
        <w:annotationRef/>
      </w:r>
      <w:r>
        <w:rPr>
          <w:rFonts w:cs="Linux Libertine G"/>
        </w:rPr>
        <w:t>Needed?</w:t>
      </w:r>
    </w:p>
  </w:comment>
  <w:comment w:id="9" w:author="Vos, Michiel" w:date="2026-09-14T11:21:00Z" w:initials="MV">
    <w:p>
      <w:pPr>
        <w:spacing w:lineRule="auto" w:line="240" w:before="0" w:after="0"/>
        <w:rPr/>
      </w:pPr>
      <w:r>
        <w:annotationRef/>
      </w:r>
      <w:r>
        <w:rPr>
          <w:rFonts w:cs="Linux Libertine G"/>
        </w:rPr>
        <w:t>“irrespective of AMR”=needed?</w:t>
      </w:r>
    </w:p>
  </w:comment>
  <w:comment w:id="10" w:author="Vos, Michiel" w:date="2026-09-14T11:28:00Z" w:initials="MV">
    <w:p>
      <w:pPr>
        <w:spacing w:lineRule="auto" w:line="240" w:before="0" w:after="0"/>
        <w:rPr/>
      </w:pPr>
      <w:r>
        <w:annotationRef/>
      </w:r>
      <w:r>
        <w:rPr>
          <w:rFonts w:cs="Linux Libertine G"/>
        </w:rPr>
        <w:t>Species antibiotic combinations right?</w:t>
      </w:r>
    </w:p>
  </w:comment>
  <w:comment w:id="11" w:author="Vos, Michiel" w:date="2026-09-14T11:49:00Z" w:initials="MV">
    <w:p>
      <w:pPr>
        <w:spacing w:lineRule="auto" w:line="240" w:before="0" w:after="0"/>
        <w:rPr/>
      </w:pPr>
      <w:r>
        <w:annotationRef/>
      </w:r>
      <w:r>
        <w:rPr>
          <w:rFonts w:cs="Linux Libertine G"/>
        </w:rPr>
        <w:t>See comment below (we use data from up to 2025?)</w:t>
      </w:r>
    </w:p>
  </w:comment>
  <w:comment w:id="12" w:author="Vos, Michiel" w:date="2026-09-14T11:43:00Z" w:initials="MV">
    <w:p>
      <w:pPr>
        <w:spacing w:lineRule="auto" w:line="240" w:before="0" w:after="0"/>
        <w:rPr/>
      </w:pPr>
      <w:r>
        <w:annotationRef/>
      </w:r>
      <w:r>
        <w:rPr>
          <w:rFonts w:cs="Linux Libertine G"/>
        </w:rPr>
        <w:t>‘volume’ might not be easily interpretable enough</w:t>
      </w:r>
    </w:p>
  </w:comment>
  <w:comment w:id="13" w:author="Vos, Michiel" w:date="2026-09-14T11:34:00Z" w:initials="MV">
    <w:p>
      <w:pPr>
        <w:spacing w:lineRule="auto" w:line="240" w:before="0" w:after="0"/>
        <w:rPr/>
      </w:pPr>
      <w:r>
        <w:annotationRef/>
      </w:r>
      <w:r>
        <w:rPr>
          <w:rFonts w:cs="Linux Libertine G"/>
        </w:rPr>
        <w:t>?</w:t>
      </w:r>
    </w:p>
  </w:comment>
  <w:comment w:id="14" w:author="Vos, Michiel" w:date="2026-09-14T11:35:00Z" w:initials="MV">
    <w:p>
      <w:pPr>
        <w:spacing w:lineRule="auto" w:line="240" w:before="0" w:after="0"/>
        <w:rPr/>
      </w:pPr>
      <w:r>
        <w:annotationRef/>
      </w:r>
      <w:r>
        <w:rPr>
          <w:rFonts w:cs="Linux Libertine G"/>
        </w:rPr>
        <w:t>REF?</w:t>
      </w:r>
    </w:p>
  </w:comment>
  <w:comment w:id="15" w:author="Vos, Michiel" w:date="2026-09-14T11:35:00Z" w:initials="MV">
    <w:p>
      <w:pPr>
        <w:spacing w:lineRule="auto" w:line="240" w:before="0" w:after="0"/>
        <w:rPr/>
      </w:pPr>
      <w:r>
        <w:annotationRef/>
      </w:r>
      <w:r>
        <w:rPr>
          <w:rFonts w:cs="Linux Libertine G"/>
        </w:rPr>
        <w:t>Method? Ref?</w:t>
      </w:r>
    </w:p>
  </w:comment>
  <w:comment w:id="16" w:author="Vos, Michiel" w:date="2026-09-14T11:44:00Z" w:initials="MV">
    <w:p>
      <w:pPr>
        <w:spacing w:lineRule="auto" w:line="240" w:before="0" w:after="0"/>
        <w:rPr/>
      </w:pPr>
      <w:r>
        <w:annotationRef/>
      </w:r>
      <w:r>
        <w:rPr>
          <w:rFonts w:cs="Linux Libertine G"/>
        </w:rPr>
        <w:t>REF?</w:t>
      </w:r>
    </w:p>
  </w:comment>
  <w:comment w:id="17" w:author="Vos, Michiel" w:date="2026-09-14T11:45:00Z" w:initials="MV">
    <w:p>
      <w:pPr>
        <w:spacing w:lineRule="auto" w:line="240" w:before="0" w:after="0"/>
        <w:rPr/>
      </w:pPr>
      <w:r>
        <w:annotationRef/>
      </w:r>
      <w:r>
        <w:rPr>
          <w:rFonts w:cs="Linux Libertine G"/>
        </w:rPr>
        <w:t>To be made more explicit</w:t>
      </w:r>
    </w:p>
  </w:comment>
  <w:comment w:id="18" w:author="Vos, Michiel" w:date="2026-09-14T11:46:00Z" w:initials="MV">
    <w:p>
      <w:pPr>
        <w:spacing w:lineRule="auto" w:line="240" w:before="0" w:after="0"/>
        <w:rPr/>
      </w:pPr>
      <w:r>
        <w:annotationRef/>
      </w:r>
      <w:r>
        <w:rPr>
          <w:rFonts w:cs="Linux Libertine G"/>
        </w:rPr>
        <w:t>?</w:t>
      </w:r>
    </w:p>
  </w:comment>
  <w:comment w:id="19" w:author="Vos, Michiel" w:date="2026-09-14T11:48:00Z" w:initials="MV">
    <w:p>
      <w:pPr>
        <w:spacing w:lineRule="auto" w:line="240" w:before="0" w:after="0"/>
        <w:rPr/>
      </w:pPr>
      <w:r>
        <w:annotationRef/>
      </w:r>
      <w:r>
        <w:rPr>
          <w:rFonts w:cs="Linux Libertine G"/>
        </w:rPr>
        <w:t>Or 2025 as below? The first section of methods states we use data 2000-2023 so this is not clear</w:t>
      </w:r>
    </w:p>
  </w:comment>
  <w:comment w:id="20" w:author="Vos, Michiel" w:date="2026-09-14T11:47:00Z" w:initials="MV">
    <w:p>
      <w:pPr>
        <w:spacing w:lineRule="auto" w:line="240" w:before="0" w:after="0"/>
        <w:rPr/>
      </w:pPr>
      <w:r>
        <w:annotationRef/>
      </w:r>
      <w:r>
        <w:rPr>
          <w:rFonts w:cs="Linux Libertine G"/>
        </w:rPr>
        <w:t>?</w:t>
      </w:r>
    </w:p>
  </w:comment>
  <w:comment w:id="21" w:author="Vos, Michiel" w:date="2026-09-14T11:51:00Z" w:initials="MV">
    <w:p>
      <w:pPr>
        <w:spacing w:lineRule="auto" w:line="240" w:before="0" w:after="0"/>
        <w:rPr/>
      </w:pPr>
      <w:r>
        <w:annotationRef/>
      </w:r>
      <w:r>
        <w:rPr>
          <w:rFonts w:cs="Linux Libertine G"/>
        </w:rPr>
        <w:t>Merge this section with the section above?</w:t>
      </w:r>
    </w:p>
  </w:comment>
  <w:comment w:id="22" w:author="Vos, Michiel" w:date="2026-07-22T11:33:00Z" w:initials="MV">
    <w:p>
      <w:pPr>
        <w:spacing w:lineRule="auto" w:line="240" w:before="0" w:after="0"/>
        <w:rPr/>
      </w:pPr>
      <w:r>
        <w:annotationRef/>
      </w:r>
      <w:r>
        <w:rPr>
          <w:rFonts w:cs="Linux Libertine G"/>
        </w:rPr>
        <w:t>What are the ‘broad AMR terms you mentioned that are also use? These need to be mentioned here or in the supplement</w:t>
      </w:r>
    </w:p>
  </w:comment>
  <w:comment w:id="23" w:author="Vos, Michiel" w:date="2026-07-22T11:21:00Z" w:initials="MV">
    <w:p>
      <w:pPr>
        <w:spacing w:lineRule="auto" w:line="240" w:before="0" w:after="0"/>
        <w:rPr/>
      </w:pPr>
      <w:r>
        <w:annotationRef/>
      </w:r>
      <w:r>
        <w:rPr>
          <w:rFonts w:cs="Linux Libertine G"/>
        </w:rPr>
        <w:t>Probably to be added without the category bit</w:t>
      </w:r>
    </w:p>
  </w:comment>
  <w:comment w:id="24" w:author="Vos, Michiel" w:date="2026-09-14T13:30:00Z" w:initials="MV">
    <w:p>
      <w:pPr>
        <w:spacing w:lineRule="auto" w:line="240" w:before="0" w:after="0"/>
        <w:rPr/>
      </w:pPr>
      <w:r>
        <w:annotationRef/>
      </w:r>
      <w:r>
        <w:rPr>
          <w:rFonts w:cs="Linux Libertine G"/>
        </w:rPr>
        <w:t>What are all steps?</w:t>
      </w:r>
    </w:p>
    <w:p>
      <w:pPr>
        <w:spacing w:lineRule="auto" w:line="240" w:before="0" w:after="0"/>
        <w:rPr/>
      </w:pPr>
      <w:r>
        <w:rPr>
          <w:rFonts w:cs="Linux Libertine G"/>
        </w:rPr>
      </w:r>
    </w:p>
    <w:p>
      <w:pPr>
        <w:spacing w:lineRule="auto" w:line="240" w:before="0" w:after="0"/>
        <w:rPr/>
      </w:pPr>
      <w:r>
        <w:rPr>
          <w:rFonts w:cs="Linux Libertine G"/>
        </w:rPr>
        <w:t>1 nr of abstracts initially retrieved</w:t>
      </w:r>
    </w:p>
    <w:p>
      <w:pPr>
        <w:spacing w:lineRule="auto" w:line="240" w:before="0" w:after="0"/>
        <w:rPr/>
      </w:pPr>
      <w:r>
        <w:rPr>
          <w:rFonts w:cs="Linux Libertine G"/>
        </w:rPr>
      </w:r>
    </w:p>
    <w:p>
      <w:pPr>
        <w:spacing w:lineRule="auto" w:line="240" w:before="0" w:after="0"/>
        <w:rPr/>
      </w:pPr>
      <w:r>
        <w:rPr>
          <w:rFonts w:cs="Linux Libertine G"/>
        </w:rPr>
        <w:t>2 de-duplicated abstracts</w:t>
      </w:r>
    </w:p>
    <w:p>
      <w:pPr>
        <w:spacing w:lineRule="auto" w:line="240" w:before="0" w:after="0"/>
        <w:rPr/>
      </w:pPr>
      <w:r>
        <w:rPr>
          <w:rFonts w:cs="Linux Libertine G"/>
        </w:rPr>
      </w:r>
    </w:p>
    <w:p>
      <w:pPr>
        <w:spacing w:lineRule="auto" w:line="240" w:before="0" w:after="0"/>
        <w:rPr/>
      </w:pPr>
      <w:r>
        <w:rPr>
          <w:rFonts w:cs="Linux Libertine G"/>
        </w:rPr>
        <w:t>3 abstracts with LLM answers</w:t>
      </w:r>
    </w:p>
    <w:p>
      <w:pPr>
        <w:spacing w:lineRule="auto" w:line="240" w:before="0" w:after="0"/>
        <w:rPr/>
      </w:pPr>
      <w:r>
        <w:rPr>
          <w:rFonts w:cs="Linux Libertine G"/>
        </w:rPr>
      </w:r>
    </w:p>
    <w:p>
      <w:pPr>
        <w:spacing w:lineRule="auto" w:line="240" w:before="0" w:after="0"/>
        <w:rPr/>
      </w:pPr>
      <w:r>
        <w:rPr>
          <w:rFonts w:cs="Linux Libertine G"/>
        </w:rPr>
        <w:t>4 more than on av 1 abstract/y abstracts 2000-2025</w:t>
      </w:r>
    </w:p>
    <w:p>
      <w:pPr>
        <w:spacing w:lineRule="auto" w:line="240" w:before="0" w:after="0"/>
        <w:rPr/>
      </w:pPr>
      <w:r>
        <w:rPr>
          <w:rFonts w:cs="Linux Libertine G"/>
        </w:rPr>
      </w:r>
    </w:p>
    <w:p>
      <w:pPr>
        <w:spacing w:lineRule="auto" w:line="240" w:before="0" w:after="0"/>
        <w:rPr/>
      </w:pPr>
      <w:r>
        <w:rPr>
          <w:rFonts w:cs="Linux Libertine G"/>
        </w:rPr>
        <w:t>?</w:t>
      </w:r>
    </w:p>
  </w:comment>
  <w:comment w:id="25" w:author="Vos, Michiel" w:date="2026-09-14T13:55:00Z" w:initials="MV">
    <w:p>
      <w:pPr>
        <w:spacing w:lineRule="auto" w:line="240" w:before="0" w:after="0"/>
        <w:rPr/>
      </w:pPr>
      <w:r>
        <w:annotationRef/>
      </w:r>
      <w:r>
        <w:rPr>
          <w:rFonts w:cs="Linux Libertine G"/>
        </w:rPr>
        <w:t>badly phrased - Fig 2 shows that applyign ‘simple’ filters to abstract nrs is able to capture real/known trends</w:t>
      </w:r>
    </w:p>
  </w:comment>
  <w:comment w:id="26" w:author="Vos, Michiel" w:date="2026-09-14T13:58:00Z" w:initials="MV">
    <w:p>
      <w:pPr>
        <w:spacing w:lineRule="auto" w:line="240" w:before="0" w:after="0"/>
        <w:rPr/>
      </w:pPr>
      <w:r>
        <w:annotationRef/>
      </w:r>
      <w:r>
        <w:rPr>
          <w:rFonts w:cs="Linux Libertine G"/>
        </w:rPr>
        <w:t>Again a bad header, but in Fig 2 we show we can describe the past (and the future as well actually), here we make the case we can make sense out of the various future predictions</w:t>
      </w:r>
    </w:p>
  </w:comment>
  <w:comment w:id="27" w:author="Vos, Michiel" w:date="2026-09-14T18:07:00Z" w:initials="MV">
    <w:p>
      <w:pPr>
        <w:spacing w:lineRule="auto" w:line="240" w:before="0" w:after="0"/>
        <w:rPr/>
      </w:pPr>
      <w:r>
        <w:annotationRef/>
      </w:r>
      <w:r>
        <w:rPr>
          <w:rFonts w:cs="Linux Libertine G"/>
        </w:rPr>
        <w:t>Ignore for now, just a list of possible talking points (or add to it!)</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Aptos">
    <w:charset w:val="01"/>
    <w:family w:val="swiss"/>
    <w:pitch w:val="variable"/>
  </w:font>
  <w:font w:name="Liberation Sans">
    <w:altName w:val="Arial"/>
    <w:charset w:val="01"/>
    <w:family w:val="swiss"/>
    <w:pitch w:val="variable"/>
  </w:font>
  <w:font w:name="Arial">
    <w:charset w:val="01"/>
    <w:family w:val="swiss"/>
    <w:pitch w:val="variable"/>
  </w:font>
  <w:font w:name="Cambria Math">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7</w:t>
    </w:r>
    <w:r>
      <w:rPr/>
      <w:fldChar w:fldCharType="end"/>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i w:val="false"/>
        <w:iCs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Microbiology&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easf5zxnptdtnevpsa5sa2hd5vesz2aawfx&quot;&gt;mastermichiel - Recovered - Copy&lt;record-ids&gt;&lt;item&gt;3564&lt;/item&gt;&lt;item&gt;3865&lt;/item&gt;&lt;item&gt;3894&lt;/item&gt;&lt;item&gt;3895&lt;/item&gt;&lt;item&gt;3897&lt;/item&gt;&lt;item&gt;3898&lt;/item&gt;&lt;item&gt;3900&lt;/item&gt;&lt;item&gt;3901&lt;/item&gt;&lt;/record-ids&gt;&lt;/item&gt;&lt;/Libraries&gt;"/>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DejaVu Sans"/>
        <w:kern w:val="2"/>
        <w:sz w:val="24"/>
        <w:szCs w:val="24"/>
        <w:lang w:val="en-GB"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78" w:before="0" w:after="160"/>
      <w:jc w:val="start"/>
    </w:pPr>
    <w:rPr>
      <w:rFonts w:ascii="Aptos" w:hAnsi="Aptos" w:eastAsia="Aptos"/>
      <w:color w:val="auto"/>
      <w:kern w:val="2"/>
      <w:sz w:val="24"/>
      <w:szCs w:val="24"/>
      <w:lang w:val="en-GB" w:eastAsia="en-US" w:bidi="ar-SA"/>
    </w:rPr>
  </w:style>
  <w:style w:type="paragraph" w:styleId="Heading1">
    <w:name w:val="heading 1"/>
    <w:basedOn w:val="Normal"/>
    <w:next w:val="Normal"/>
    <w:link w:val="Heading1Char"/>
    <w:qFormat/>
    <w:pPr>
      <w:keepNext w:val="true"/>
      <w:keepLines/>
      <w:numPr>
        <w:ilvl w:val="0"/>
        <w:numId w:val="0"/>
      </w:numPr>
      <w:spacing w:before="360" w:after="80"/>
      <w:outlineLvl w:val="0"/>
    </w:pPr>
    <w:rPr>
      <w:rFonts w:ascii="Aptos Display" w:hAnsi="Aptos Display" w:eastAsia="Aptos" w:cs="DejaVu Sans"/>
      <w:color w:themeColor="accent1" w:themeShade="bf" w:val="0F4761"/>
      <w:sz w:val="40"/>
      <w:szCs w:val="40"/>
    </w:rPr>
  </w:style>
  <w:style w:type="paragraph" w:styleId="Heading2">
    <w:name w:val="heading 2"/>
    <w:basedOn w:val="Normal"/>
    <w:next w:val="Normal"/>
    <w:link w:val="Heading2Char"/>
    <w:qFormat/>
    <w:pPr>
      <w:keepNext w:val="true"/>
      <w:keepLines/>
      <w:numPr>
        <w:ilvl w:val="0"/>
        <w:numId w:val="0"/>
      </w:numPr>
      <w:spacing w:before="160" w:after="80"/>
      <w:outlineLvl w:val="1"/>
    </w:pPr>
    <w:rPr>
      <w:rFonts w:ascii="Aptos Display" w:hAnsi="Aptos Display" w:eastAsia="Aptos" w:cs="DejaVu Sans"/>
      <w:color w:themeColor="accent1" w:themeShade="bf" w:val="0F4761"/>
      <w:sz w:val="32"/>
      <w:szCs w:val="32"/>
    </w:rPr>
  </w:style>
  <w:style w:type="paragraph" w:styleId="Heading3">
    <w:name w:val="heading 3"/>
    <w:basedOn w:val="Normal"/>
    <w:next w:val="Normal"/>
    <w:link w:val="Heading3Char"/>
    <w:qFormat/>
    <w:pPr>
      <w:keepNext w:val="true"/>
      <w:keepLines/>
      <w:numPr>
        <w:ilvl w:val="0"/>
        <w:numId w:val="0"/>
      </w:numPr>
      <w:spacing w:before="160" w:after="80"/>
      <w:outlineLvl w:val="2"/>
    </w:pPr>
    <w:rPr>
      <w:rFonts w:eastAsia="Aptos" w:cs="DejaVu Sans"/>
      <w:color w:themeColor="accent1" w:themeShade="bf" w:val="0F4761"/>
      <w:sz w:val="28"/>
      <w:szCs w:val="28"/>
    </w:rPr>
  </w:style>
  <w:style w:type="paragraph" w:styleId="Heading4">
    <w:name w:val="heading 4"/>
    <w:basedOn w:val="Normal"/>
    <w:next w:val="Normal"/>
    <w:link w:val="Heading4Char"/>
    <w:qFormat/>
    <w:pPr>
      <w:keepNext w:val="true"/>
      <w:keepLines/>
      <w:numPr>
        <w:ilvl w:val="0"/>
        <w:numId w:val="0"/>
      </w:numPr>
      <w:spacing w:before="80" w:after="40"/>
      <w:outlineLvl w:val="3"/>
    </w:pPr>
    <w:rPr>
      <w:rFonts w:eastAsia="Aptos" w:cs="DejaVu Sans"/>
      <w:i/>
      <w:iCs/>
      <w:color w:themeColor="accent1" w:themeShade="bf" w:val="0F4761"/>
    </w:rPr>
  </w:style>
  <w:style w:type="paragraph" w:styleId="Heading5">
    <w:name w:val="heading 5"/>
    <w:basedOn w:val="Normal"/>
    <w:next w:val="Normal"/>
    <w:link w:val="Heading5Char"/>
    <w:qFormat/>
    <w:pPr>
      <w:keepNext w:val="true"/>
      <w:keepLines/>
      <w:numPr>
        <w:ilvl w:val="0"/>
        <w:numId w:val="0"/>
      </w:numPr>
      <w:spacing w:before="80" w:after="40"/>
      <w:outlineLvl w:val="4"/>
    </w:pPr>
    <w:rPr>
      <w:rFonts w:eastAsia="Aptos" w:cs="DejaVu Sans"/>
      <w:color w:themeColor="accent1" w:themeShade="bf" w:val="0F4761"/>
    </w:rPr>
  </w:style>
  <w:style w:type="paragraph" w:styleId="Heading6">
    <w:name w:val="heading 6"/>
    <w:basedOn w:val="Normal"/>
    <w:next w:val="Normal"/>
    <w:link w:val="Heading6Char"/>
    <w:qFormat/>
    <w:pPr>
      <w:keepNext w:val="true"/>
      <w:keepLines/>
      <w:numPr>
        <w:ilvl w:val="0"/>
        <w:numId w:val="0"/>
      </w:numPr>
      <w:spacing w:before="40" w:after="0"/>
      <w:outlineLvl w:val="5"/>
    </w:pPr>
    <w:rPr>
      <w:rFonts w:eastAsia="Aptos" w:cs="DejaVu Sans"/>
      <w:i/>
      <w:iCs/>
      <w:color w:themeColor="dark1" w:themeTint="a6" w:val="595959"/>
    </w:rPr>
  </w:style>
  <w:style w:type="paragraph" w:styleId="Heading7">
    <w:name w:val="heading 7"/>
    <w:basedOn w:val="Normal"/>
    <w:next w:val="Normal"/>
    <w:link w:val="Heading7Char"/>
    <w:qFormat/>
    <w:pPr>
      <w:keepNext w:val="true"/>
      <w:keepLines/>
      <w:numPr>
        <w:ilvl w:val="0"/>
        <w:numId w:val="0"/>
      </w:numPr>
      <w:spacing w:before="40" w:after="0"/>
      <w:outlineLvl w:val="6"/>
    </w:pPr>
    <w:rPr>
      <w:rFonts w:eastAsia="Aptos" w:cs="DejaVu Sans"/>
      <w:color w:themeColor="dark1" w:themeTint="a6" w:val="595959"/>
    </w:rPr>
  </w:style>
  <w:style w:type="paragraph" w:styleId="Heading8">
    <w:name w:val="heading 8"/>
    <w:basedOn w:val="Normal"/>
    <w:next w:val="Normal"/>
    <w:link w:val="Heading8Char"/>
    <w:qFormat/>
    <w:pPr>
      <w:keepNext w:val="true"/>
      <w:keepLines/>
      <w:numPr>
        <w:ilvl w:val="0"/>
        <w:numId w:val="0"/>
      </w:numPr>
      <w:spacing w:before="0" w:after="0"/>
      <w:outlineLvl w:val="7"/>
    </w:pPr>
    <w:rPr>
      <w:rFonts w:eastAsia="Aptos" w:cs="DejaVu Sans"/>
      <w:i/>
      <w:iCs/>
      <w:color w:themeColor="dark1" w:themeTint="d8" w:val="272727"/>
    </w:rPr>
  </w:style>
  <w:style w:type="paragraph" w:styleId="Heading9">
    <w:name w:val="heading 9"/>
    <w:basedOn w:val="Normal"/>
    <w:next w:val="Normal"/>
    <w:link w:val="Heading9Char"/>
    <w:qFormat/>
    <w:pPr>
      <w:keepNext w:val="true"/>
      <w:keepLines/>
      <w:numPr>
        <w:ilvl w:val="0"/>
        <w:numId w:val="0"/>
      </w:numPr>
      <w:spacing w:before="0" w:after="0"/>
      <w:outlineLvl w:val="8"/>
    </w:pPr>
    <w:rPr>
      <w:rFonts w:eastAsia="Aptos" w:cs="DejaVu Sans"/>
      <w:color w:themeColor="dark1" w:themeTint="d8" w:val="272727"/>
    </w:rPr>
  </w:style>
  <w:style w:type="character" w:styleId="DefaultParagraphFont">
    <w:name w:val="Default Paragraph Font"/>
    <w:qFormat/>
    <w:rPr/>
  </w:style>
  <w:style w:type="character" w:styleId="Heading1Char">
    <w:name w:val="Heading 1 Char"/>
    <w:basedOn w:val="DefaultParagraphFont"/>
    <w:link w:val="Heading1"/>
    <w:qFormat/>
    <w:rPr>
      <w:rFonts w:ascii="Aptos Display" w:hAnsi="Aptos Display" w:eastAsia="Aptos" w:cs="DejaVu Sans"/>
      <w:color w:themeColor="accent1" w:themeShade="bf" w:val="0F4761"/>
      <w:sz w:val="40"/>
      <w:szCs w:val="40"/>
    </w:rPr>
  </w:style>
  <w:style w:type="character" w:styleId="Heading2Char">
    <w:name w:val="Heading 2 Char"/>
    <w:basedOn w:val="DefaultParagraphFont"/>
    <w:link w:val="Heading2"/>
    <w:qFormat/>
    <w:rPr>
      <w:rFonts w:ascii="Aptos Display" w:hAnsi="Aptos Display" w:eastAsia="Aptos" w:cs="DejaVu Sans"/>
      <w:color w:themeColor="accent1" w:themeShade="bf" w:val="0F4761"/>
      <w:sz w:val="32"/>
      <w:szCs w:val="32"/>
    </w:rPr>
  </w:style>
  <w:style w:type="character" w:styleId="Heading3Char">
    <w:name w:val="Heading 3 Char"/>
    <w:basedOn w:val="DefaultParagraphFont"/>
    <w:link w:val="Heading3"/>
    <w:qFormat/>
    <w:rPr>
      <w:rFonts w:eastAsia="Aptos" w:cs="DejaVu Sans"/>
      <w:color w:themeColor="accent1" w:themeShade="bf" w:val="0F4761"/>
      <w:sz w:val="28"/>
      <w:szCs w:val="28"/>
    </w:rPr>
  </w:style>
  <w:style w:type="character" w:styleId="Heading4Char">
    <w:name w:val="Heading 4 Char"/>
    <w:basedOn w:val="DefaultParagraphFont"/>
    <w:link w:val="Heading4"/>
    <w:qFormat/>
    <w:rPr>
      <w:rFonts w:eastAsia="Aptos" w:cs="DejaVu Sans"/>
      <w:i/>
      <w:iCs/>
      <w:color w:themeColor="accent1" w:themeShade="bf" w:val="0F4761"/>
    </w:rPr>
  </w:style>
  <w:style w:type="character" w:styleId="Heading5Char">
    <w:name w:val="Heading 5 Char"/>
    <w:basedOn w:val="DefaultParagraphFont"/>
    <w:link w:val="Heading5"/>
    <w:qFormat/>
    <w:rPr>
      <w:rFonts w:eastAsia="Aptos" w:cs="DejaVu Sans"/>
      <w:color w:themeColor="accent1" w:themeShade="bf" w:val="0F4761"/>
    </w:rPr>
  </w:style>
  <w:style w:type="character" w:styleId="Heading6Char">
    <w:name w:val="Heading 6 Char"/>
    <w:basedOn w:val="DefaultParagraphFont"/>
    <w:link w:val="Heading6"/>
    <w:qFormat/>
    <w:rPr>
      <w:rFonts w:eastAsia="Aptos" w:cs="DejaVu Sans"/>
      <w:i/>
      <w:iCs/>
      <w:color w:themeColor="dark1" w:themeTint="a6" w:val="595959"/>
    </w:rPr>
  </w:style>
  <w:style w:type="character" w:styleId="Heading7Char">
    <w:name w:val="Heading 7 Char"/>
    <w:basedOn w:val="DefaultParagraphFont"/>
    <w:link w:val="Heading7"/>
    <w:qFormat/>
    <w:rPr>
      <w:rFonts w:eastAsia="Aptos" w:cs="DejaVu Sans"/>
      <w:color w:themeColor="dark1" w:themeTint="a6" w:val="595959"/>
    </w:rPr>
  </w:style>
  <w:style w:type="character" w:styleId="Heading8Char">
    <w:name w:val="Heading 8 Char"/>
    <w:basedOn w:val="DefaultParagraphFont"/>
    <w:link w:val="Heading8"/>
    <w:qFormat/>
    <w:rPr>
      <w:rFonts w:eastAsia="Aptos" w:cs="DejaVu Sans"/>
      <w:i/>
      <w:iCs/>
      <w:color w:themeColor="dark1" w:themeTint="d8" w:val="272727"/>
    </w:rPr>
  </w:style>
  <w:style w:type="character" w:styleId="Heading9Char">
    <w:name w:val="Heading 9 Char"/>
    <w:basedOn w:val="DefaultParagraphFont"/>
    <w:link w:val="Heading9"/>
    <w:qFormat/>
    <w:rPr>
      <w:rFonts w:eastAsia="Aptos" w:cs="DejaVu Sans"/>
      <w:color w:themeColor="dark1" w:themeTint="d8" w:val="272727"/>
    </w:rPr>
  </w:style>
  <w:style w:type="character" w:styleId="TitleChar">
    <w:name w:val="Title Char"/>
    <w:basedOn w:val="DefaultParagraphFont"/>
    <w:link w:val="Title"/>
    <w:qFormat/>
    <w:rPr>
      <w:rFonts w:ascii="Aptos Display" w:hAnsi="Aptos Display" w:eastAsia="Aptos" w:cs="DejaVu Sans"/>
      <w:spacing w:val="-10"/>
      <w:kern w:val="2"/>
      <w:sz w:val="56"/>
      <w:szCs w:val="56"/>
    </w:rPr>
  </w:style>
  <w:style w:type="character" w:styleId="SubtitleChar">
    <w:name w:val="Subtitle Char"/>
    <w:basedOn w:val="DefaultParagraphFont"/>
    <w:link w:val="Subtitle"/>
    <w:qFormat/>
    <w:rPr>
      <w:rFonts w:eastAsia="Aptos" w:cs="DejaVu Sans"/>
      <w:color w:themeColor="dark1" w:themeTint="a6" w:val="595959"/>
      <w:spacing w:val="15"/>
      <w:sz w:val="28"/>
      <w:szCs w:val="28"/>
    </w:rPr>
  </w:style>
  <w:style w:type="character" w:styleId="QuoteChar">
    <w:name w:val="Quote Cha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0F4761"/>
    </w:rPr>
  </w:style>
  <w:style w:type="character" w:styleId="IntenseQuoteChar">
    <w:name w:val="Intense Quote Char"/>
    <w:basedOn w:val="DefaultParagraphFont"/>
    <w:link w:val="IntenseQuote"/>
    <w:qFormat/>
    <w:rPr>
      <w:i/>
      <w:iCs/>
      <w:color w:themeColor="accent1" w:themeShade="bf" w:val="0F4761"/>
    </w:rPr>
  </w:style>
  <w:style w:type="character" w:styleId="IntenseReference">
    <w:name w:val="Intense Reference"/>
    <w:basedOn w:val="DefaultParagraphFont"/>
    <w:qFormat/>
    <w:rPr>
      <w:b/>
      <w:bCs/>
      <w:smallCaps/>
      <w:color w:themeColor="accent1" w:themeShade="bf" w:val="0F4761"/>
      <w:spacing w:val="5"/>
    </w:rPr>
  </w:style>
  <w:style w:type="character" w:styleId="Hyperlink">
    <w:name w:val="Hyperlink"/>
    <w:basedOn w:val="DefaultParagraphFont"/>
    <w:rPr>
      <w:color w:themeColor="hyperlink" w:val="467886"/>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qFormat/>
    <w:rPr>
      <w:sz w:val="16"/>
      <w:szCs w:val="16"/>
    </w:rPr>
  </w:style>
  <w:style w:type="character" w:styleId="CommentTextChar">
    <w:name w:val="Comment Text Char"/>
    <w:basedOn w:val="DefaultParagraphFont"/>
    <w:link w:val="CommentText"/>
    <w:qFormat/>
    <w:rPr>
      <w:sz w:val="20"/>
      <w:szCs w:val="20"/>
    </w:rPr>
  </w:style>
  <w:style w:type="character" w:styleId="CommentSubjectChar">
    <w:name w:val="Comment Subject Char"/>
    <w:basedOn w:val="CommentTextChar"/>
    <w:link w:val="annotationsubject"/>
    <w:qFormat/>
    <w:rPr>
      <w:b/>
      <w:bCs/>
      <w:sz w:val="20"/>
      <w:szCs w:val="20"/>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EndNoteBibliographyTitleChar">
    <w:name w:val="EndNote Bibliography Title Char"/>
    <w:basedOn w:val="DefaultParagraphFont"/>
    <w:link w:val="EndNoteBibliographyTitle"/>
    <w:qFormat/>
    <w:rPr>
      <w:rFonts w:ascii="Aptos" w:hAnsi="Aptos"/>
      <w:lang w:val="en-US"/>
    </w:rPr>
  </w:style>
  <w:style w:type="character" w:styleId="EndNoteBibliographyChar">
    <w:name w:val="EndNote Bibliography Char"/>
    <w:basedOn w:val="DefaultParagraphFont"/>
    <w:link w:val="EndNoteBibliography"/>
    <w:qFormat/>
    <w:rPr>
      <w:rFonts w:ascii="Aptos" w:hAnsi="Aptos"/>
      <w:lang w:val="en-US"/>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Normal"/>
    <w:next w:val="Normal"/>
    <w:link w:val="TitleChar"/>
    <w:qFormat/>
    <w:pPr>
      <w:spacing w:lineRule="auto" w:line="240" w:before="0" w:after="80"/>
      <w:contextualSpacing/>
    </w:pPr>
    <w:rPr>
      <w:rFonts w:ascii="Aptos Display" w:hAnsi="Aptos Display" w:eastAsia="Aptos" w:cs="DejaVu Sans"/>
      <w:spacing w:val="-10"/>
      <w:kern w:val="2"/>
      <w:sz w:val="56"/>
      <w:szCs w:val="56"/>
    </w:rPr>
  </w:style>
  <w:style w:type="paragraph" w:styleId="Subtitle">
    <w:name w:val="Subtitle"/>
    <w:basedOn w:val="Normal"/>
    <w:next w:val="Normal"/>
    <w:link w:val="SubtitleChar"/>
    <w:qFormat/>
    <w:pPr/>
    <w:rPr>
      <w:rFonts w:eastAsia="Aptos" w:cs="DejaVu Sans"/>
      <w:color w:themeColor="dark1" w:themeTint="a6" w:val="595959"/>
      <w:spacing w:val="15"/>
      <w:sz w:val="28"/>
      <w:szCs w:val="28"/>
    </w:rPr>
  </w:style>
  <w:style w:type="paragraph" w:styleId="Quote">
    <w:name w:val="Quote"/>
    <w:basedOn w:val="Normal"/>
    <w:next w:val="Normal"/>
    <w:link w:val="QuoteChar"/>
    <w:qFormat/>
    <w:pPr>
      <w:spacing w:before="160" w:after="160"/>
      <w:jc w:val="center"/>
    </w:pPr>
    <w:rPr>
      <w:i/>
      <w:iCs/>
      <w:color w:themeColor="dark1" w:themeTint="bf" w:val="404040"/>
    </w:rPr>
  </w:style>
  <w:style w:type="paragraph" w:styleId="ListParagraph">
    <w:name w:val="List Paragraph"/>
    <w:basedOn w:val="Normal"/>
    <w:qFormat/>
    <w:pPr>
      <w:spacing w:before="0" w:after="160"/>
      <w:ind w:start="720"/>
      <w:contextualSpacing/>
    </w:pPr>
    <w:rPr/>
  </w:style>
  <w:style w:type="paragraph" w:styleId="IntenseQuote">
    <w:name w:val="Intense Quote"/>
    <w:basedOn w:val="Normal"/>
    <w:next w:val="Normal"/>
    <w:link w:val="IntenseQuoteChar"/>
    <w:qFormat/>
    <w:pPr>
      <w:pBdr>
        <w:top w:val="single" w:sz="4" w:space="10" w:color="0F4761"/>
        <w:bottom w:val="single" w:sz="4" w:space="10" w:color="0F4761"/>
      </w:pBdr>
      <w:spacing w:before="360" w:after="360"/>
      <w:ind w:start="864" w:end="864"/>
      <w:jc w:val="center"/>
    </w:pPr>
    <w:rPr>
      <w:i/>
      <w:iCs/>
      <w:color w:themeColor="accent1" w:themeShade="bf" w:val="0F4761"/>
    </w:rPr>
  </w:style>
  <w:style w:type="paragraph" w:styleId="CommentText">
    <w:name w:val="annotation text"/>
    <w:basedOn w:val="Normal"/>
    <w:link w:val="CommentTextChar"/>
    <w:pPr>
      <w:spacing w:lineRule="auto" w:line="240"/>
    </w:pPr>
    <w:rPr>
      <w:sz w:val="20"/>
      <w:szCs w:val="20"/>
    </w:rPr>
  </w:style>
  <w:style w:type="paragraph" w:styleId="annotationsubject">
    <w:name w:val="annotation subject"/>
    <w:basedOn w:val="CommentText"/>
    <w:next w:val="CommentText"/>
    <w:link w:val="CommentSubjectChar"/>
    <w:qFormat/>
    <w:pPr/>
    <w:rPr>
      <w:b/>
      <w:bCs/>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513" w:leader="none"/>
        <w:tab w:val="right" w:pos="9026" w:leader="none"/>
      </w:tabs>
      <w:spacing w:lineRule="auto" w:line="240" w:before="0" w:after="0"/>
    </w:pPr>
    <w:rPr/>
  </w:style>
  <w:style w:type="paragraph" w:styleId="Footer">
    <w:name w:val="footer"/>
    <w:basedOn w:val="Normal"/>
    <w:link w:val="FooterChar"/>
    <w:pPr>
      <w:tabs>
        <w:tab w:val="clear" w:pos="720"/>
        <w:tab w:val="center" w:pos="4513" w:leader="none"/>
        <w:tab w:val="right" w:pos="9026" w:leader="none"/>
      </w:tabs>
      <w:spacing w:lineRule="auto" w:line="240" w:before="0" w:after="0"/>
    </w:pPr>
    <w:rPr/>
  </w:style>
  <w:style w:type="paragraph" w:styleId="EndNoteBibliographyTitle">
    <w:name w:val="EndNote Bibliography Title"/>
    <w:basedOn w:val="Normal"/>
    <w:link w:val="EndNoteBibliographyTitleChar"/>
    <w:qFormat/>
    <w:pPr>
      <w:spacing w:before="0" w:after="0"/>
      <w:jc w:val="center"/>
    </w:pPr>
    <w:rPr>
      <w:rFonts w:ascii="Aptos" w:hAnsi="Aptos"/>
      <w:lang w:val="en-US"/>
    </w:rPr>
  </w:style>
  <w:style w:type="paragraph" w:styleId="EndNoteBibliography">
    <w:name w:val="EndNote Bibliography"/>
    <w:basedOn w:val="Normal"/>
    <w:link w:val="EndNoteBibliographyChar"/>
    <w:qFormat/>
    <w:pPr>
      <w:spacing w:lineRule="auto" w:line="240"/>
    </w:pPr>
    <w:rPr>
      <w:rFonts w:ascii="Aptos" w:hAnsi="Aptos"/>
      <w:lang w:val="en-US"/>
    </w:rPr>
  </w:style>
  <w:style w:type="paragraph" w:styleId="Revision">
    <w:name w:val="Revision"/>
    <w:qFormat/>
    <w:pPr>
      <w:widowControl/>
      <w:kinsoku w:val="true"/>
      <w:overflowPunct w:val="true"/>
      <w:autoSpaceDE w:val="true"/>
      <w:bidi w:val="0"/>
      <w:spacing w:lineRule="auto" w:line="240" w:before="0" w:after="0"/>
      <w:jc w:val="start"/>
    </w:pPr>
    <w:rPr>
      <w:rFonts w:ascii="Aptos" w:hAnsi="Aptos" w:eastAsia="Aptos"/>
      <w:color w:val="auto"/>
      <w:kern w:val="2"/>
      <w:sz w:val="24"/>
      <w:szCs w:val="24"/>
      <w:lang w:val="en-GB" w:eastAsia="en-US" w:bidi="ar-SA"/>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f.costa@exeter.ac.uk" TargetMode="External"/><Relationship Id="rId3" Type="http://schemas.openxmlformats.org/officeDocument/2006/relationships/image" Target="media/image1.png"/><Relationship Id="rId4" Type="http://schemas.openxmlformats.org/officeDocument/2006/relationships/footer" Target="footer1.xml"/><Relationship Id="rId5" Type="http://schemas.openxmlformats.org/officeDocument/2006/relationships/comments" Target="comments.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2834</TotalTime>
  <Application>LibreOfficeDev/26.8.0.0.alpha0$MacOSX_AARCH64 LibreOffice_project/2c87e51eeaa2b413ff4ae097b2705eea1995d8e5</Application>
  <AppVersion>15.0000</AppVersion>
  <Pages>1</Pages>
  <Words>2127</Words>
  <Characters>12839</Characters>
  <CharactersWithSpaces>14887</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2026-04-21T07:57:00Z</dcterms:created>
  <dc:creator>Vos, Michiel</dc:creator>
  <dc:description/>
  <dc:language>en-US</dc:language>
  <cp:lastModifiedBy>Vos, Michiel</cp:lastModifiedBy>
  <dcterms:modified xsi:type="dcterms:W3CDTF">2026-09-14T17:07:00Z</dcterms:modified>
  <cp:revision>750</cp:revision>
  <dc:subject/>
  <dc:title/>
</cp:coreProperties>
</file>

<file path=docProps/custom.xml><?xml version="1.0" encoding="utf-8"?>
<Properties xmlns="http://schemas.openxmlformats.org/officeDocument/2006/custom-properties" xmlns:vt="http://schemas.openxmlformats.org/officeDocument/2006/docPropsVTypes"/>
</file>