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Cheaper LLMs as AMR literature screeners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Executive Summary</w:t>
      </w:r>
    </w:p>
    <w:p>
      <w:pPr>
        <w:pBdr>
          <w:bottom w:val="double" w:color="000000" w:sz="6" w:space="2"/>
        </w:pBd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Hyam Ali · Dr Fabrizio Costa · Dr Shiqiang Wang  |  University of Exeter · Google DeepMind Research Ready  |  September 2026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Research question: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Can a cheaper language model stand in for Claude Sonnet 5 when screening PubMed abstracts, without changing which WHO GLASS pathogen–antibiotic pairs come out as research priorities?</w:t>
      </w:r>
    </w:p>
    <w:tbl>
      <w:tblPr>
        <w:tblW w:type="dxa" w:w="150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7"/>
        <w:gridCol w:w="3007"/>
        <w:gridCol w:w="3007"/>
        <w:gridCol w:w="3007"/>
        <w:gridCol w:w="3007"/>
      </w:tblGrid>
      <w:tr>
        <w:tc>
          <w:tcPr>
            <w:tcW w:type="dxa" w:w="30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bottom w:type="dxa" w:w="3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89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pathogen–antibiotic pairs</w:t>
            </w:r>
          </w:p>
        </w:tc>
        <w:tc>
          <w:tcPr>
            <w:tcW w:type="dxa" w:w="30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bottom w:type="dxa" w:w="3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73,857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paper–pair screens</w:t>
            </w:r>
          </w:p>
        </w:tc>
        <w:tc>
          <w:tcPr>
            <w:tcW w:type="dxa" w:w="30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bottom w:type="dxa" w:w="3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711,925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LLM decisions</w:t>
            </w:r>
          </w:p>
        </w:tc>
        <w:tc>
          <w:tcPr>
            <w:tcW w:type="dxa" w:w="30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bottom w:type="dxa" w:w="3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12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models tried</w:t>
            </w:r>
          </w:p>
        </w:tc>
        <w:tc>
          <w:tcPr>
            <w:tcW w:type="dxa" w:w="30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bottom w:type="dxa" w:w="3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acceptance rules</w:t>
            </w:r>
          </w:p>
        </w:tc>
      </w:tr>
    </w:tbl>
    <w:p>
      <w:pPr>
        <w:spacing w:after="60"/>
      </w:pP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67"/>
        <w:gridCol w:w="7971"/>
      </w:tblGrid>
      <w:tr>
        <w:tc>
          <w:tcPr>
            <w:tcW w:type="dxa" w:w="7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20"/>
            </w:tcMar>
          </w:tcPr>
          <w:p>
            <w:pPr>
              <w:pBdr>
                <w:bottom w:val="single" w:color="000000" w:sz="8" w:space="1"/>
              </w:pBd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1.  Key Findings</w:t>
            </w:r>
          </w:p>
          <w:p>
            <w:pPr>
              <w:tabs>
                <w:tab w:val="left" w:pos="360"/>
              </w:tabs>
              <w:spacing w:after="70"/>
              <w:ind w:left="360" w:hanging="36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	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The acceptance rule matters more than which model you use.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Under strict-only, any two candidates put 22–52% of pairs in different quadrants, compared with just 11–16% under strict-or-yes. Relaxing the rule helps every model; GPT-3.5, for example, goes from ρ 0.62 to 0.92.</w:t>
            </w:r>
          </w:p>
          <w:p>
            <w:pPr>
              <w:tabs>
                <w:tab w:val="left" w:pos="360"/>
              </w:tabs>
              <w:spacing w:after="70"/>
              <w:ind w:left="360" w:hanging="36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	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With the permissive rule, most of the agreement comes from publication volume.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If we skip the LLM entirely and accept every abstract, we still get ρ = 0.95. Gemini 3.5 Flash-Lite (0.97) is the only model that does better, and both GPT models do worse.</w:t>
            </w:r>
          </w:p>
          <w:p>
            <w:pPr>
              <w:tabs>
                <w:tab w:val="left" w:pos="360"/>
              </w:tabs>
              <w:spacing w:after="70"/>
              <w:ind w:left="360" w:hanging="36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	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With the strict rule, the choice of model decides the outcome, and even the best one misses emerging pairs.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Gemini 3.5 Flash-Lite reaches ρ 0.87 against 0.67 without an LLM, yet it still moves 38% of pairs into a different quadrant and finds only 2 of the 13 emerging pairs.</w:t>
            </w:r>
          </w:p>
          <w:p>
            <w:pPr>
              <w:tabs>
                <w:tab w:val="left" w:pos="360"/>
              </w:tabs>
              <w:spacing w:after="70"/>
              <w:ind w:left="360" w:hanging="36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	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Agreeing on individual papers is not the same as agreeing on the ranking.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Gemini is the only model with moderate per-paper agreement (κ 0.58). Gemma 3 270M is no better than chance (κ = −0.01), and yet it ranks the pairs at ρ = 0.83.</w:t>
            </w:r>
          </w:p>
          <w:p>
            <w:pPr>
              <w:pBdr>
                <w:bottom w:val="single" w:color="000000" w:sz="8" w:space="1"/>
              </w:pBd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2.  Method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Every model screened all 73,857 paper–pair items as strict, yes or no. The accepted counts for each pair and year go into a pooled ridge regression, and the residual from that regression is the Scientific Interest (SI) signal. A damped 5-year forecast then puts each pair into a priority quadrant. We compared each model with Sonnet 5 at the paper level (Cohen's κ) and at the pair level (Spearman ρ and quadrant changes), under the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strict-only</w:t>
            </w: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strict-or-yes</w:t>
            </w: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 rules and against a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no-LLM baseline</w:t>
            </w: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 that accepts every abstract.</w:t>
            </w:r>
          </w:p>
        </w:tc>
        <w:tc>
          <w:tcPr>
            <w:tcW w:type="dxa" w:w="7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20"/>
            </w:tcMar>
          </w:tcPr>
          <w:p>
            <w:pPr>
              <w:pBdr>
                <w:bottom w:val="single" w:color="000000" w:sz="8" w:space="1"/>
              </w:pBd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3.  Cost versus Fidelity</w:t>
            </w:r>
          </w:p>
          <w:p>
            <w:pPr>
              <w:pBdr>
                <w:top w:val="single" w:color="000000" w:sz="6"/>
                <w:bottom w:val="single" w:color="000000" w:sz="6"/>
                <w:left w:val="single" w:color="000000" w:sz="6"/>
                <w:right w:val="single" w:color="000000" w:sz="6"/>
              </w:pBdr>
              <w:spacing w:after="20"/>
              <w:jc w:val="center"/>
            </w:pPr>
            <w:r>
              <w:drawing>
                <wp:inline distT="0" distB="0" distL="0" distR="0">
                  <wp:extent cx="4762500" cy="2209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Figure 1. </w:t>
            </w: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Agreement with the reference against API cost. Dashed lines mark the no-LLM baseline for each rule. Gemma 3 270M has no strict-only value because its SI signal is constant.</w:t>
            </w:r>
          </w:p>
          <w:p>
            <w:pPr>
              <w:keepNext/>
              <w:spacing w:after="20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Table 1. </w:t>
            </w: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Screening cost by model.</w:t>
            </w:r>
          </w:p>
          <w:tbl>
            <w:tblPr>
              <w:tblW w:type="dxa" w:w="77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952"/>
              <w:gridCol w:w="1709"/>
              <w:gridCol w:w="1243"/>
              <w:gridCol w:w="932"/>
              <w:gridCol w:w="935"/>
            </w:tblGrid>
            <w:tr>
              <w:tc>
                <w:tcPr>
                  <w:tcW w:type="dxa" w:w="295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D9D9D9" w:color="auto" w:val="clear"/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Model</w:t>
                  </w:r>
                </w:p>
              </w:tc>
              <w:tc>
                <w:tcPr>
                  <w:tcW w:type="dxa" w:w="1709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D9D9D9" w:color="auto" w:val="clear"/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$ per 1,000 papers</w:t>
                  </w:r>
                </w:p>
              </w:tc>
              <w:tc>
                <w:tcPr>
                  <w:tcW w:type="dxa" w:w="1243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D9D9D9" w:color="auto" w:val="clear"/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Full corpus</w:t>
                  </w:r>
                </w:p>
              </w:tc>
              <w:tc>
                <w:tcPr>
                  <w:tcW w:type="dxa" w:w="93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D9D9D9" w:color="auto" w:val="clear"/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vs. ref.</w:t>
                  </w:r>
                </w:p>
              </w:tc>
              <w:tc>
                <w:tcPr>
                  <w:tcW w:type="dxa" w:w="935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D9D9D9" w:color="auto" w:val="clear"/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Kappa</w:t>
                  </w:r>
                </w:p>
              </w:tc>
            </w:tr>
            <w:tr>
              <w:tc>
                <w:tcPr>
                  <w:tcW w:type="dxa" w:w="295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Claude Sonnet 5 (ref.)</w:t>
                  </w:r>
                </w:p>
              </w:tc>
              <w:tc>
                <w:tcPr>
                  <w:tcW w:type="dxa" w:w="1709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$1.72</w:t>
                  </w:r>
                </w:p>
              </w:tc>
              <w:tc>
                <w:tcPr>
                  <w:tcW w:type="dxa" w:w="1243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$127.22</w:t>
                  </w:r>
                </w:p>
              </w:tc>
              <w:tc>
                <w:tcPr>
                  <w:tcW w:type="dxa" w:w="93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100%</w:t>
                  </w:r>
                </w:p>
              </w:tc>
              <w:tc>
                <w:tcPr>
                  <w:tcW w:type="dxa" w:w="935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1.00</w:t>
                  </w:r>
                </w:p>
              </w:tc>
            </w:tr>
            <w:tr>
              <w:tc>
                <w:tcPr>
                  <w:tcW w:type="dxa" w:w="295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Gemini 3.5 Flash-Lite</w:t>
                  </w:r>
                </w:p>
              </w:tc>
              <w:tc>
                <w:tcPr>
                  <w:tcW w:type="dxa" w:w="1709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$0.28</w:t>
                  </w:r>
                </w:p>
              </w:tc>
              <w:tc>
                <w:tcPr>
                  <w:tcW w:type="dxa" w:w="1243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$20.97</w:t>
                  </w:r>
                </w:p>
              </w:tc>
              <w:tc>
                <w:tcPr>
                  <w:tcW w:type="dxa" w:w="93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16%</w:t>
                  </w:r>
                </w:p>
              </w:tc>
              <w:tc>
                <w:tcPr>
                  <w:tcW w:type="dxa" w:w="935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0.58</w:t>
                  </w:r>
                </w:p>
              </w:tc>
            </w:tr>
            <w:tr>
              <w:tc>
                <w:tcPr>
                  <w:tcW w:type="dxa" w:w="295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GPT-4.1-nano</w:t>
                  </w:r>
                </w:p>
              </w:tc>
              <w:tc>
                <w:tcPr>
                  <w:tcW w:type="dxa" w:w="1709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$0.09</w:t>
                  </w:r>
                </w:p>
              </w:tc>
              <w:tc>
                <w:tcPr>
                  <w:tcW w:type="dxa" w:w="1243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$6.62</w:t>
                  </w:r>
                </w:p>
              </w:tc>
              <w:tc>
                <w:tcPr>
                  <w:tcW w:type="dxa" w:w="93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5%</w:t>
                  </w:r>
                </w:p>
              </w:tc>
              <w:tc>
                <w:tcPr>
                  <w:tcW w:type="dxa" w:w="935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0.26</w:t>
                  </w:r>
                </w:p>
              </w:tc>
            </w:tr>
            <w:tr>
              <w:tc>
                <w:tcPr>
                  <w:tcW w:type="dxa" w:w="295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GPT-3.5-turbo</w:t>
                  </w:r>
                </w:p>
              </w:tc>
              <w:tc>
                <w:tcPr>
                  <w:tcW w:type="dxa" w:w="1709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$0.44</w:t>
                  </w:r>
                </w:p>
              </w:tc>
              <w:tc>
                <w:tcPr>
                  <w:tcW w:type="dxa" w:w="1243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$32.74</w:t>
                  </w:r>
                </w:p>
              </w:tc>
              <w:tc>
                <w:tcPr>
                  <w:tcW w:type="dxa" w:w="93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26%</w:t>
                  </w:r>
                </w:p>
              </w:tc>
              <w:tc>
                <w:tcPr>
                  <w:tcW w:type="dxa" w:w="935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0.22</w:t>
                  </w:r>
                </w:p>
              </w:tc>
            </w:tr>
            <w:tr>
              <w:tc>
                <w:tcPr>
                  <w:tcW w:type="dxa" w:w="295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Gemma 3 4B</w:t>
                  </w:r>
                </w:p>
              </w:tc>
              <w:tc>
                <w:tcPr>
                  <w:tcW w:type="dxa" w:w="1709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$0.04</w:t>
                  </w:r>
                </w:p>
              </w:tc>
              <w:tc>
                <w:tcPr>
                  <w:tcW w:type="dxa" w:w="1243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$3.23</w:t>
                  </w:r>
                </w:p>
              </w:tc>
              <w:tc>
                <w:tcPr>
                  <w:tcW w:type="dxa" w:w="93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2.5%</w:t>
                  </w:r>
                </w:p>
              </w:tc>
              <w:tc>
                <w:tcPr>
                  <w:tcW w:type="dxa" w:w="935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0.03</w:t>
                  </w:r>
                </w:p>
              </w:tc>
            </w:tr>
            <w:tr>
              <w:tc>
                <w:tcPr>
                  <w:tcW w:type="dxa" w:w="295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Gemma 3 270M</w:t>
                  </w:r>
                </w:p>
              </w:tc>
              <w:tc>
                <w:tcPr>
                  <w:tcW w:type="dxa" w:w="1709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$0.00</w:t>
                  </w:r>
                </w:p>
              </w:tc>
              <w:tc>
                <w:tcPr>
                  <w:tcW w:type="dxa" w:w="1243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$0.00</w:t>
                  </w:r>
                </w:p>
              </w:tc>
              <w:tc>
                <w:tcPr>
                  <w:tcW w:type="dxa" w:w="93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0%</w:t>
                  </w:r>
                </w:p>
              </w:tc>
              <w:tc>
                <w:tcPr>
                  <w:tcW w:type="dxa" w:w="935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left w:type="dxa" w:w="70"/>
                    <w:right w:type="dxa" w:w="7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18"/>
                      <w:szCs w:val="18"/>
                    </w:rPr>
                    <w:t xml:space="preserve">-0.01</w:t>
                  </w:r>
                </w:p>
              </w:tc>
            </w:tr>
          </w:tbl>
          <w:p>
            <w:pPr>
              <w:spacing w:after="0" w:before="2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Prices are list prices from Jul–Aug 2026, with Sonnet 5 on the Batch API (50% off). The full corpus is 73,849 screens. The local model costs $0 in API fees but took ~84 h on one GPU.</w:t>
            </w:r>
          </w:p>
        </w:tc>
      </w:tr>
    </w:tbl>
    <w:p>
      <w:pPr>
        <w:pBdr>
          <w:top w:val="single" w:color="000000" w:sz="6" w:space="3"/>
          <w:bottom w:val="single" w:color="000000" w:sz="6" w:space="3"/>
          <w:left w:val="single" w:color="000000" w:sz="6" w:space="5"/>
          <w:right w:val="single" w:color="000000" w:sz="6" w:space="5"/>
        </w:pBdr>
        <w:spacing w:after="0" w:before="12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Recommendation.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 Gemini 3.5 Flash-Lite is the only substitute that beats the no-LLM baseline under both rules, and it costs 16% of the reference ($21 against $127 for the full corpus). The acceptance rule should be reported as a main design choice, and any strict-or-yes result should be compared with the no-LLM baseline.</w:t>
      </w:r>
    </w:p>
    <w:p>
      <w:pPr>
        <w:pBdr>
          <w:top w:val="single" w:color="000000" w:sz="6" w:space="3"/>
          <w:bottom w:val="single" w:color="000000" w:sz="6" w:space="3"/>
          <w:left w:val="single" w:color="000000" w:sz="6" w:space="5"/>
          <w:right w:val="single" w:color="000000" w:sz="6" w:space="5"/>
        </w:pBdr>
        <w:spacing w:after="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Before submission: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 we still have no human ground truth, and 6.6% of the reference screens came back empty (probably because adaptive thinking hit the 60-token cap), so these need re-running. The work also rests on a single prompt, and the size ladder covers only 3 of the 89 pairs.</w:t>
      </w:r>
    </w:p>
    <w:sectPr>
      <w:footerReference w:type="default" r:id="rId7"/>
      <w:pgSz w:w="16838" w:h="11906" w:orient="landscape"/>
      <w:pgMar w:top="700" w:right="900" w:bottom="600" w:left="90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7519"/>
        <w:tab w:val="right" w:pos="15038"/>
      </w:tabs>
    </w:pPr>
    <w:r>
      <w:rPr>
        <w:rFonts w:ascii="Times New Roman" w:cs="Times New Roman" w:eastAsia="Times New Roman" w:hAnsi="Times New Roman"/>
        <w:color w:val="000000"/>
        <w:sz w:val="16"/>
        <w:szCs w:val="16"/>
      </w:rPr>
      <w:t xml:space="preserve">Executive Summary – Draft for Discussion</w:t>
    </w:r>
    <w:r>
      <w:rPr>
        <w:rFonts w:ascii="Times New Roman" w:cs="Times New Roman" w:eastAsia="Times New Roman" w:hAnsi="Times New Roman"/>
        <w:color w:val="000000"/>
        <w:sz w:val="16"/>
        <w:szCs w:val="16"/>
      </w:rPr>
      <w:t xml:space="preserve">	Page 1 of 1</w:t>
    </w:r>
    <w:r>
      <w:rPr>
        <w:rFonts w:ascii="Times New Roman" w:cs="Times New Roman" w:eastAsia="Times New Roman" w:hAnsi="Times New Roman"/>
        <w:color w:val="000000"/>
        <w:sz w:val="16"/>
        <w:szCs w:val="16"/>
      </w:rPr>
      <w:t xml:space="preserve">	September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78ca2d477079063503267b3bde48c396fcaa3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Cheaper LLMs as AMR literature screeners: executive summary</dc:title>
  <dc:creator>Hyam Ali</dc:creator>
  <cp:lastModifiedBy>Un-named</cp:lastModifiedBy>
  <cp:revision>1</cp:revision>
  <dcterms:created xsi:type="dcterms:W3CDTF">2026-09-28T01:29:18.446Z</dcterms:created>
  <dcterms:modified xsi:type="dcterms:W3CDTF">2026-09-28T01:29:18.446Z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