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8"/>
          <w:szCs w:val="28"/>
        </w:rPr>
        <w:t xml:space="preserve">Project summary: robustness of LLM-screened priority signals in AMR research</w:t>
      </w:r>
    </w:p>
    <w:p>
      <w:pPr>
        <w:spacing w:after="240"/>
      </w:pPr>
      <w:r>
        <w:rPr>
          <w:color w:val="52514E"/>
          <w:sz w:val="20"/>
          <w:szCs w:val="20"/>
        </w:rPr>
        <w:t xml:space="preserve">Hyam Ali · September 2026</w:t>
      </w:r>
    </w:p>
    <w:p>
      <w:pPr>
        <w:spacing w:after="200" w:line="300"/>
      </w:pPr>
      <w:r>
        <w:t xml:space="preserve">Over the summer we built a resumable pipeline that pulls the PubMed literature for the 89 WHO GLASS pathogen–antibiotic pairs (11 pathogens and 30 antibiotics, 2000–2026) and asks a language model whether each abstract is about that pair's resistance. The corpus contains 38,987 unique abstracts, which make up 73,857 paper–pair screens. We used Claude Sonnet 5 as the reference and tried 11 other models in 17 model–temperature configurations. Five of these candidates (Gemini 3.5 Flash-Lite, GPT-4.1-nano, GPT-3.5-turbo, Gemma 3 4B and Gemma 3 270M) screened the whole corpus, and six small open-weight configurations formed a size ladder on three representative pairs, giving 711,925 screening decisions in total. For every model, we turned the verdicts into a Scientific Interest signal and a five-year priority forecast under two acceptance rules (strict-only and strict-or-yes). We then compared the results with the reference both per paper (Cohen's κ and macro-F1) and per pair (Spearman ρ, quadrant changes, the ±1 SD band and overlap in emerging pairs), checked them against a no-LLM baseline that accepts every abstract, and worked out the cost per paper at list prices.</w:t>
      </w:r>
    </w:p>
    <w:p>
      <w:pPr>
        <w:spacing w:after="200" w:line="300"/>
      </w:pPr>
      <w:r>
        <w:t xml:space="preserve">The main conclusion is that whether a cheap model can replace the reference depends more on the acceptance rule than on the model itself. Under strict-or-yes, the candidates disagree with each other on only 11–16% of pair quadrants and rank pairs at ρ = 0.83–0.97 against the reference, but the no-LLM baseline already reaches ρ = 0.95, so most of that agreement reflects publication volume rather than shared judgement. Under strict-only, where the reference accepts just 23% of abstracts, the candidates disagree on 22–52% of quadrants and the choice of model becomes decisive. Gemini 3.5 Flash-Lite, the only model with moderate per-paper agreement (κ = 0.58), clearly beats the baseline (ρ = 0.87 against 0.67), yet it still moves 38% of pairs into a different quadrant and recovers only 2 of the 13 emerging pairs. We also found that agreement on individual papers and agreement on the overall ranking are separate properties, since Gemma 3 270M agrees at chance per paper but ranks pairs at ρ = 0.83, and that small models break down in ways specific to their family. Gemini 3.5 Flash-Lite offers the best trade-off, at $0.28 per 1,000 papers against $1.72 for the reference (16% of the cost). The main gaps before submission are a human-labelled validation sample and a re-run of the 6.6% of reference screens that came back empty.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Hyam Ali</dc:creator>
  <cp:lastModifiedBy>Un-named</cp:lastModifiedBy>
  <cp:revision>1</cp:revision>
  <dcterms:created xsi:type="dcterms:W3CDTF">2026-09-28T01:23:36.109Z</dcterms:created>
  <dcterms:modified xsi:type="dcterms:W3CDTF">2026-09-28T01:23:36.109Z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