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33 casi superati, 54 parzialmente coperti, 20 bloccati da prerequisiti esterni e 0 casi completamente non superati. Le suite strutturali, la build, il modello dati, le migrazioni fino alla 108, Analytics, chat, gestione spese e governance contenuti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33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54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20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108 verificate: KPI versionati, registro variazioni, ricevute di lettura, governance fonti e contratti runtime finali.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fixture gamification pubblicata non e disponibile; acceptance quiz/sfide non parte.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una partenza sintetica versionata con giochi, quiz, contest e due viaggiatori.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dati o sessione autenticata esterna non disponibili nell'ambiente di collaudo.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Il prodotto non puo tuttavia essere dichiarato collaudato al 100% sui 107 casi finche non vengono forniti ruolo DB runtime locale, fixture controllate, scenari mutativi sintetici e dispositivi mobili reali. L'unico difetto applicativo riproducibile emerso in questa esecuzione, DEF-001, e stato corretto e ritestato.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