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42 casi superati, 55 parzialmente coperti, 10 bloccati da prerequisiti esterni e 0 casi completamente non superati. Le suite strutturali, la build, il modello dati, le migrazioni fino alla 112, Analytics, chat, gestione spese, governance contenuti e album finale PDF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10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112 verificate: KPI, governance fonti, contratti runtime, pgcrypto, contest a due foto e scrittura bingo globale.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ora dimostrati anche la generazione, il download e la condivisione con fallback dell'album finale PDF, incluso l'isolamento delle foto per gruppo. Restano da completare soprattutto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