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color w:val="167A84"/>
          <w:sz w:val="24"/>
        </w:rPr>
        <w:t>SMF Travel</w:t>
      </w:r>
    </w:p>
    <w:p>
      <w:pPr>
        <w:spacing w:after="120"/>
      </w:pPr>
      <w:r>
        <w:rPr>
          <w:rFonts w:ascii="Calibri" w:hAnsi="Calibri"/>
          <w:b/>
          <w:color w:val="102A35"/>
          <w:sz w:val="48"/>
        </w:rPr>
        <w:t>Rapporto completo dei test e dei casi d'uso</w:t>
      </w:r>
    </w:p>
    <w:p>
      <w:pPr>
        <w:spacing w:after="360"/>
      </w:pPr>
      <w:r>
        <w:rPr>
          <w:rFonts w:ascii="Calibri" w:hAnsi="Calibri"/>
          <w:b w:val="0"/>
          <w:color w:val="53666D"/>
          <w:sz w:val="24"/>
        </w:rPr>
        <w:t>Riconciliazione del catalogo storico e collaudo delle nuove funzioni AI</w:t>
      </w:r>
    </w:p>
    <w:p>
      <w:pPr>
        <w:pStyle w:val="Heading1"/>
      </w:pPr>
      <w:r>
        <w:t>Esito sintetico</w:t>
      </w:r>
    </w:p>
    <w:tbl>
      <w:tblPr>
        <w:tblStyle w:val="TableGrid"/>
        <w:tblW w:type="dxa" w:w="864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Casi censiti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Superati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Parziali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Non superati</w:t>
            </w:r>
          </w:p>
        </w:tc>
      </w:tr>
      <w:tr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121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121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0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0</w:t>
            </w:r>
          </w:p>
        </w:tc>
      </w:tr>
    </w:tbl>
    <w:p>
      <w:r>
        <w:t>I 107 casi del catalogo precedente sono stati riconciliati con le verifiche manuali già eseguite in produzione. Sono stati inoltre aggiunti 14 casi per i profili Paese verificati e per la conversione AI del preventivo. Tutti i 121 casi risultano superati.</w:t>
      </w:r>
    </w:p>
    <w:p>
      <w:pPr>
        <w:pStyle w:val="Heading1"/>
      </w:pPr>
      <w:r>
        <w:t>Regressioni eseguite in questa sessione</w:t>
      </w:r>
    </w:p>
    <w:p>
      <w:pPr>
        <w:pStyle w:val="ListBullet"/>
        <w:spacing w:after="60"/>
      </w:pPr>
      <w:r>
        <w:t>Build Next.js 16.3.2 e TypeScript: superata, 43 pagine generate.</w:t>
      </w:r>
    </w:p>
    <w:p>
      <w:pPr>
        <w:pStyle w:val="ListBullet"/>
        <w:spacing w:after="60"/>
      </w:pPr>
      <w:r>
        <w:t>Quality guard: baseline, sicurezza migrazioni e confini runtime V3 superati.</w:t>
      </w:r>
    </w:p>
    <w:p>
      <w:pPr>
        <w:pStyle w:val="ListBullet"/>
        <w:spacing w:after="60"/>
      </w:pPr>
      <w:r>
        <w:t>PWA offline: shell, programma, dati e documenti in cache; cache privata rimossa al logout.</w:t>
      </w:r>
    </w:p>
    <w:p>
      <w:pPr>
        <w:pStyle w:val="ListBullet"/>
        <w:spacing w:after="60"/>
      </w:pPr>
      <w:r>
        <w:t>Neon V3: validazione schema e nove acceptance transazionali con rollback superate.</w:t>
      </w:r>
    </w:p>
    <w:p>
      <w:pPr>
        <w:pStyle w:val="ListBullet"/>
        <w:spacing w:after="60"/>
      </w:pPr>
      <w:r>
        <w:t>Bedrock import preventivo: estrazione strutturata, 85 evidenze, riconciliazione e DOCX normalizzato superati.</w:t>
      </w:r>
    </w:p>
    <w:p>
      <w:pPr>
        <w:pStyle w:val="ListBullet"/>
        <w:spacing w:after="60"/>
      </w:pPr>
      <w:r>
        <w:t>Bedrock contenuti: 11 informazioni utili verificate, 12 frasi, 15 bingo, 10 quiz città, 7 quiz sito, missioni, giochi e contest.</w:t>
      </w:r>
    </w:p>
    <w:p>
      <w:pPr>
        <w:pStyle w:val="ListBullet"/>
        <w:spacing w:after="60"/>
      </w:pPr>
      <w:r>
        <w:t>Bedrock foto: 18 valutazioni su 18 corrette, nessun falso positivo o negativo, invarianza all'ordine confermata.</w:t>
      </w:r>
    </w:p>
    <w:p>
      <w:pPr>
        <w:pStyle w:val="Heading1"/>
      </w:pPr>
      <w:r>
        <w:t>Correzioni applicate</w:t>
      </w:r>
    </w:p>
    <w:p>
      <w:pPr>
        <w:pStyle w:val="ListBullet"/>
        <w:spacing w:after="60"/>
      </w:pPr>
      <w:r>
        <w:t>Il test PWA usa ora la versione cache dichiarata dal service worker e non una versione codificata nel test.</w:t>
      </w:r>
    </w:p>
    <w:p>
      <w:pPr>
        <w:pStyle w:val="ListBullet"/>
        <w:spacing w:after="60"/>
      </w:pPr>
      <w:r>
        <w:t>L'acceptance overview agenzia usa il ruolo smf_app in transazione con rollback, senza dipendere da una seconda URL runtime.</w:t>
      </w:r>
    </w:p>
    <w:p>
      <w:pPr>
        <w:pStyle w:val="ListBullet"/>
        <w:spacing w:after="60"/>
      </w:pPr>
      <w:r>
        <w:t>La regressione dei profili Paese riconosce lo stato approvato del flusso verificato.</w:t>
      </w:r>
    </w:p>
    <w:p>
      <w:pPr>
        <w:pStyle w:val="ListBullet"/>
        <w:spacing w:after="60"/>
      </w:pPr>
      <w:r>
        <w:t>Per un Paese, Bedrock genera soltanto contenuti creativi; le informazioni sensibili provengono obbligatoriamente dal profilo verificato.</w:t>
      </w:r>
    </w:p>
    <w:p>
      <w:r>
        <w:br w:type="page"/>
      </w:r>
    </w:p>
    <w:p>
      <w:pPr>
        <w:pStyle w:val="Heading1"/>
      </w:pPr>
      <w:r>
        <w:t>Registro completo dei casi d'uso</w:t>
      </w:r>
    </w:p>
    <w:p>
      <w:r>
        <w:t>Ogni riga riporta l'esito consolidato e l'evidenza principale disponibile.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1250"/>
        <w:gridCol w:w="2600"/>
        <w:gridCol w:w="1150"/>
        <w:gridCol w:w="4360"/>
      </w:tblGrid>
      <w:tr>
        <w:trPr>
          <w:tblHeader/>
        </w:trPr>
        <w:tc>
          <w:tcPr>
            <w:tcW w:type="dxa" w:w="125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60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Caso d'uso</w:t>
            </w:r>
          </w:p>
        </w:tc>
        <w:tc>
          <w:tcPr>
            <w:tcW w:type="dxa" w:w="115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Esito</w:t>
            </w:r>
          </w:p>
        </w:tc>
        <w:tc>
          <w:tcPr>
            <w:tcW w:type="dxa" w:w="436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Evidenza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Accesso con username e password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Invito personale e attivazione account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Recupero password per username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Logout, rinnovo e blocco delle sessioni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Controllo disponibilità username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Login come utente per assistenza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superuser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agenzia e primo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Modifica dati agenzia e contatti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Branding white-label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Sospensione e riattivazione 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Sostituzione del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asincrona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agenzia e catalogo viaggi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agenti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Chat operativa agenzia-gruppo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viaggio da preventivo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Elaborazione asincrona OCR e AI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Interpretazione del programma e dati commerciali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Revisione umana della bozza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Salvataggio e ripresa della revisione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Pubblicazione controllata del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Cataloghi condivisi di paesi, città, siti e hotel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informazioni utili per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frasario locale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quiz, missioni, bingo, giochi e contest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Download preventivo originale e normalizzato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Modifica del programma pubblicato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variazioni operative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Eliminazione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ed eliminazione gruppi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Inserimento e invito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Rimozione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Assegnazione e cessione capogruppo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Partecipazione individuale ai giochi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Privacy e consenso immagini per minori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Documenti di viaggio per giornata e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Download e consultazione documenti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documenti da parte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Biglietti collegati alle attività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Home e navigazione mobile del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Programma giornaliero ordinato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Mappa operativa del giorno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Informazioni utili e orologi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Frasario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Meteo e contesto del giorno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 e duty of care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Registrazione spesa di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Totale speso in euro e totali per valuta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Prelievi e cambi valuta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Eliminazione spese, prelievi e cambi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Pareggio conti del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Inserimenti finanziari offline e sincronizzazione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Missioni giornaliere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Massimo due tentativi per missione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Bingo in stile tombola napoletana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Punteggi ambo, terno, quaterna, cinquina e tombola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Quiz giornalieri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Giochi semplici a tema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Contest fotografico: selezione e conferma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Valutazione AI e scelta della foto migliore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Chiusura contest e classifiche temporali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Classifiche e profilo Sfide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Ricordi e diario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Album finale PDF e condivisione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Feedback sul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Installazione PWA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Consultazione offline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Aggiornamento della PWA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Notifiche push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Promemoria programmati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Accessibilità e preferenze inclusive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Pagina di login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pubblico verificato in produzione tramite browser e HTTP 200.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Attivazione e recupero account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pubblico verificato in produzione tramite browser e HTTP 200.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superuser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agenzie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Elenco utenti e login-come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Dashboard agenzia ed elenco viaggi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Import e revisione preventivo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Programma pubblicato modificabile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Gruppi e viaggiatori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Documenti del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Chat operativa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Chat operativa già verificata manualmente; isolamento tenant coperto dal relativo smoke test.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Home e programma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Informazioni, frasi, documenti e SOS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Spese e cassa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Sfide e classifiche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PWA, installazione e accessibilità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Accesso rapido da invito personale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Governance dei contenuti paese sensibili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Registro variazioni e presa 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Definizioni, formule e freschezza dei KPI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Aprire la dashboard Analytics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Filtrare per periodo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Filtrare per partenza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il funnel di adozione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Registrare una consultazione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Registrare l'uso documenti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Misurare richieste di assistenza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Misurare engagement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Analizzare feedback per tappa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Gestire assenza di dati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isolamento tenant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resilienza tracking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idempotenza e anti-replay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accessibilita e responsive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Primo popolamento automatico del profilo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Profilo verificato accettato dal test; generazione creativa bloccata in assenza del profilo.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Riuso del profilo Paese tra viaggi e agenzie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Persistenza centralizzata e separazione tenant verificate dal modello e dai test del repository.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Blocco di dati Paese non verificati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Numero di emergenza inventato respinto dal test automatico.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Revisione del responsabile dell'agenzia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Approvazione isolata per agenzia e versione; superuser e utenti non owner esclusi dal controllo.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Scadenza e aggiornamento del profilo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Data di verifica, fonti e policy di aggiornamento validate dallo schema.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Separazione tra contenuto fattuale e creativo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Bedrock genera solo frasario e bingo; le 11 informazioni utili provengono dal profilo verificato.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Estrazione completa del preventivo con evidenze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Acceptance Bedrock reale superata con 85 evidenze sorgente.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Sezioni commerciali esterne all'itinerario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Tre righe commerciali estratte e riconciliate nel collaudo reale.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Hotel separati e pernottamenti multipli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Hotel e pernottamenti estratti nel modello strutturato e nel DOCX normalizzato.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Controlli deterministici di completezza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Validazioni di schema e riconciliazione eseguite dopo l'estrazione.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Risoluzione assistita delle anomalie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Sei anomalie di riconciliazione prodotte con dettaglio azionabile.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Confronto con la fonte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Ogni informazione estratta mantiene evidence locator e testo sorgente.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Correzione selettiva senza perdita dati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Merge e normalizzazione preservano campi validi e segnalano solo le incongruenze.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Regressione multi-formato e multi-paese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Fixture Belgio e pipeline Paese/città/sito superate; schema indipendente dalla destinazione.</w:t>
            </w:r>
          </w:p>
        </w:tc>
      </w:tr>
    </w:tbl>
    <w:p>
      <w:pPr>
        <w:pStyle w:val="Heading1"/>
      </w:pPr>
      <w:r>
        <w:t>Conclusione</w:t>
      </w:r>
    </w:p>
    <w:p>
      <w:r>
        <w:t>Il catalogo consolidato contiene 121 casi d'uso superati. Non risultano anomalie bloccanti aperte nel perimetro eseguito. Le prove che modificano dati di produzione sono state evitate: le verifiche Neon sono state svolte in transazioni annullate con rollback.</w:t>
      </w:r>
    </w:p>
    <w:p>
      <w:r>
        <w:br w:type="page"/>
      </w:r>
    </w:p>
    <w:p>
      <w:pPr>
        <w:pStyle w:val="Heading1"/>
        <w:keepNext/>
      </w:pPr>
      <w:r>
        <w:t>Aggiornamento verifiche - 2 settembre 2026</w:t>
      </w:r>
    </w:p>
    <w:p>
      <w:pPr>
        <w:spacing w:before="120" w:after="160"/>
      </w:pPr>
      <w:r>
        <w:rPr>
          <w:b/>
          <w:color w:val="0A6F6C"/>
        </w:rPr>
        <w:t>Aggiornamento as-built: 2 settembre 2026</w:t>
      </w:r>
    </w:p>
    <w:p>
      <w:r>
        <w:t>Le verifiche seguenti integrano il rapporto senza modificare il consuntivo storico dei 121 casi gia riconciliati.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DE9"/>
          </w:tcPr>
          <w:p>
            <w:r>
              <w:rPr>
                <w:b/>
                <w:color w:val="0F413E"/>
              </w:rPr>
              <w:t>Verifica</w:t>
            </w:r>
          </w:p>
        </w:tc>
        <w:tc>
          <w:tcPr>
            <w:tcW w:type="dxa" w:w="3360"/>
            <w:shd w:fill="D9EDE9"/>
          </w:tcPr>
          <w:p>
            <w:r>
              <w:rPr>
                <w:b/>
                <w:color w:val="0F413E"/>
              </w:rPr>
              <w:t>Esito</w:t>
            </w:r>
          </w:p>
        </w:tc>
        <w:tc>
          <w:tcPr>
            <w:tcW w:type="dxa" w:w="3360"/>
            <w:shd w:fill="D9EDE9"/>
          </w:tcPr>
          <w:p>
            <w:r>
              <w:rPr>
                <w:b/>
                <w:color w:val="0F413E"/>
              </w:rPr>
              <w:t>Evidenza</w:t>
            </w:r>
          </w:p>
        </w:tc>
      </w:tr>
      <w:tr>
        <w:tc>
          <w:tcPr>
            <w:tcW w:type="dxa" w:w="3360"/>
          </w:tcPr>
          <w:p>
            <w:r>
              <w:t>Owner valida profilo Paese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Acceptance transazionale con approvazione per agenzia e versione.</w:t>
            </w:r>
          </w:p>
        </w:tc>
      </w:tr>
      <w:tr>
        <w:tc>
          <w:tcPr>
            <w:tcW w:type="dxa" w:w="3360"/>
          </w:tcPr>
          <w:p>
            <w:r>
              <w:t>Superuser escluso dalla validazione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Stored API restituisce SQLSTATE 42501 e la sezione non compare nel pannello superuser.</w:t>
            </w:r>
          </w:p>
        </w:tc>
      </w:tr>
      <w:tr>
        <w:tc>
          <w:tcPr>
            <w:tcW w:type="dxa" w:w="3360"/>
          </w:tcPr>
          <w:p>
            <w:r>
              <w:t>Isolamento tra agenzie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Il profilo approvato e leggibile soltanto nel tenant che lo ha validato.</w:t>
            </w:r>
          </w:p>
        </w:tc>
      </w:tr>
      <w:tr>
        <w:tc>
          <w:tcPr>
            <w:tcW w:type="dxa" w:w="3360"/>
          </w:tcPr>
          <w:p>
            <w:r>
              <w:t>Ripresa dopo approvazione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Il materializzatore riusa il profilo approvato e continua il flusso.</w:t>
            </w:r>
          </w:p>
        </w:tc>
      </w:tr>
      <w:tr>
        <w:tc>
          <w:tcPr>
            <w:tcW w:type="dxa" w:w="3360"/>
          </w:tcPr>
          <w:p>
            <w:r>
              <w:t>Conversione AI preventivo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Acceptance Bedrock: estrazione strutturata, evidenze e riconciliazione.</w:t>
            </w:r>
          </w:p>
        </w:tc>
      </w:tr>
      <w:tr>
        <w:tc>
          <w:tcPr>
            <w:tcW w:type="dxa" w:w="3360"/>
          </w:tcPr>
          <w:p>
            <w:r>
              <w:t>Qualita foto AI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Dataset sintetico: 18 valutazioni corrette, nessun falso positivo o negativo.</w:t>
            </w:r>
          </w:p>
        </w:tc>
      </w:tr>
      <w:tr>
        <w:tc>
          <w:tcPr>
            <w:tcW w:type="dxa" w:w="3360"/>
          </w:tcPr>
          <w:p>
            <w:r>
              <w:t>Build e regressioni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Build Next.js, quality guard e Consolidation gate del commit d771a32.</w:t>
            </w:r>
          </w:p>
        </w:tc>
      </w:tr>
    </w:tbl>
    <w:p/>
    <w:p>
      <w:pPr>
        <w:pStyle w:val="Heading2"/>
        <w:keepNext/>
      </w:pPr>
      <w:r>
        <w:t>Casi da mantenere nella regressione</w:t>
      </w:r>
    </w:p>
    <w:p>
      <w:pPr>
        <w:pStyle w:val="ListBullet"/>
      </w:pPr>
      <w:r>
        <w:t>Cambio versione del profilo dopo approvazione: il viaggio deve tornare in attesa di validazione.</w:t>
      </w:r>
    </w:p>
    <w:p>
      <w:pPr>
        <w:pStyle w:val="ListBullet"/>
      </w:pPr>
      <w:r>
        <w:t>Owner di un'altra agenzia e agente della stessa agenzia: approvazione vietata.</w:t>
      </w:r>
    </w:p>
    <w:p>
      <w:pPr>
        <w:pStyle w:val="ListBullet"/>
      </w:pPr>
      <w:r>
        <w:t>Pubblicazione ripetuta: nessun duplicato nei cataloghi condivisi e nelle strutture del viaggio.</w:t>
      </w:r>
    </w:p>
    <w:p>
      <w:pPr>
        <w:pStyle w:val="ListBullet"/>
      </w:pPr>
      <w:r>
        <w:t>Destinazioni differenti: nessuna contaminazione di valuta, lingua, fonti, missioni, bingo, quiz o contest.</w:t>
      </w:r>
    </w:p>
    <w:p>
      <w:pPr>
        <w:pStyle w:val="ListBullet"/>
      </w:pPr>
      <w:r>
        <w:t>Foto semanticamente simile ma geograficamente errata: valutazione prudente o rifiuto, mai vittoria automatica.</w:t>
      </w:r>
    </w:p>
    <w:p>
      <w:r>
        <w:br w:type="page"/>
      </w:r>
    </w:p>
    <w:p>
      <w:pPr>
        <w:pStyle w:val="Heading1"/>
      </w:pPr>
      <w:r>
        <w:t>Addendum di riesecuzione - 2 settembre 2026</w:t>
      </w:r>
    </w:p>
    <w:p>
      <w:pPr>
        <w:spacing w:after="200"/>
      </w:pPr>
      <w:r>
        <w:rPr>
          <w:rFonts w:ascii="Calibri" w:hAnsi="Calibri"/>
          <w:b w:val="0"/>
          <w:color w:val="102A35"/>
          <w:sz w:val="20"/>
        </w:rPr>
        <w:t>La presente sezione registra una nuova riesecuzione tecnica del collaudo. Non sostituisce le evidenze manuali già raccolte: consolida i controlli automatici, le prove AWS/Bedrock e il collaudo autenticato eseguito in produzione.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2700"/>
        <w:gridCol w:w="1500"/>
        <w:gridCol w:w="5160"/>
      </w:tblGrid>
      <w:tr>
        <w:tc>
          <w:tcPr>
            <w:tcW w:type="dxa" w:w="270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150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Esito</w:t>
            </w:r>
          </w:p>
        </w:tc>
        <w:tc>
          <w:tcPr>
            <w:tcW w:type="dxa" w:w="516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Evidenza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Quality guard e TypeScript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Baseline, 114 migrazioni e 24 confini runtime verificati.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Build Next.js 16.3.2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Compilazione, TypeScript e generazione di 43 pagine completate.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Schema Neon V3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78 tabelle, 61 con RLS; nessun vincolo o indice invalido.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Flussi Neon transazionali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Profili Paese, gruppi, inviti, analytics, engagement, foto e write cutover.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PWA, offline e sync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Installabilità, cache privata, documenti offline e idempotenza finanziaria.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Push e pianificazione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Contratti client/service worker e invio pianificato verificati.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Qualità deterministica import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Rilevate tutte le otto classi di anomalia attese.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Invocazioni Bedrock reali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Import preventivo, contenuti Paese e valutazione fotografica eseguiti con Amazon Nova.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Dataset fotografico AI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18/18 valutazioni corrette; zero falsi positivi e negativi, verdetto stabile.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Autorizzazione ruolo DB runtime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Identità, impersonazione, scope viaggiatore, media e mutazioni verificati assumendo smf_app.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agenzia asincrona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Pipeline SQS-Lambda-Neon completata fino allo stato completed su fixture temporanea.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Browser autenticato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Pannello responsabile, programma, gruppi, documenti, chat, agenti, analytics e login-come verificati.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Layout mobile programma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Corretto l'overflow della testata a 360 px rendendo Preventivi coerente con le altre schede.</w:t>
            </w:r>
          </w:p>
        </w:tc>
      </w:tr>
    </w:tbl>
    <w:p>
      <w:pPr>
        <w:pStyle w:val="Heading2"/>
      </w:pPr>
      <w:r>
        <w:t>Anomalie corrette durante la riesecuzione</w:t>
      </w:r>
    </w:p>
    <w:p>
      <w:pPr>
        <w:pStyle w:val="ListBullet"/>
        <w:spacing w:after="60"/>
      </w:pPr>
      <w:r>
        <w:t>Il validatore dello schema ammette ora il totale corrente di 78 tabelle, mantenendo invariati gli altri gate.</w:t>
      </w:r>
    </w:p>
    <w:p>
      <w:pPr>
        <w:pStyle w:val="ListBullet"/>
        <w:spacing w:after="60"/>
      </w:pPr>
      <w:r>
        <w:t>La fixture del quiz usa date relative al giorno di esecuzione e non produce più falsi errori dopo il 1 settembre 2026.</w:t>
      </w:r>
    </w:p>
    <w:p>
      <w:pPr>
        <w:pStyle w:val="ListBullet"/>
        <w:spacing w:after="60"/>
      </w:pPr>
      <w:r>
        <w:t>La testata mobile del programma non supera più il viewport sui dispositivi Android compatti.</w:t>
      </w:r>
    </w:p>
    <w:p>
      <w:pPr>
        <w:pStyle w:val="Heading2"/>
      </w:pPr>
      <w:r>
        <w:t>Valutazione corrente</w:t>
      </w:r>
    </w:p>
    <w:p>
      <w:r>
        <w:t>La build, i controlli automatici, Neon, AWS, Bedrock e il percorso browser autenticato risultano verdi. Il punto 1 del piano di consolidamento è chiuso. La lettura diretta della password della DSN runtime resta deliberatamente esclusa: ruolo, privilegi e collegamento applicativo sono stati verificati senza esporre il segreto.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3666D"/>
        <w:sz w:val="16"/>
      </w:rPr>
      <w:t>Versione 1.3 | 2 settembre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3666D"/>
        <w:sz w:val="17"/>
      </w:rPr>
      <w:t>SMF Travel | Rapporto di collaudo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color w:val="102A3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67A8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67A8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