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 e coerente, normalizzato sul nucleo transazionale, governato e pronto per revisione specialistica. Non viene dichiarata la piena conformita della produzione: il divario implementativo e documentato nel modello fisico.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famiglia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Famiglie,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famiglia,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Famiglia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famiglie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Famiglia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Heading2"/>
      </w:pPr>
      <w:r>
        <w:t>Esperienza privata</w:t>
      </w:r>
    </w:p>
    <w:p>
      <w:r>
        <w:t>Dati separati per famiglia: denaro, ricordi, locali, risultati e feedback.</w:t>
      </w:r>
    </w:p>
    <w:p>
      <w:pPr>
        <w:pStyle w:val="ListBullet"/>
      </w:pPr>
      <w:r>
        <w:t>Spesa</w:t>
      </w:r>
    </w:p>
    <w:p>
      <w:pPr>
        <w:pStyle w:val="ListBullet"/>
      </w:pPr>
      <w:r>
        <w:t>Movimento di cassa</w:t>
      </w:r>
    </w:p>
    <w:p>
      <w:pPr>
        <w:pStyle w:val="ListBullet"/>
      </w:pPr>
      <w:r>
        <w:t>Nota</w:t>
      </w:r>
    </w:p>
    <w:p>
      <w:pPr>
        <w:pStyle w:val="ListBullet"/>
      </w:pPr>
      <w:r>
        <w:t>Locale</w:t>
      </w:r>
    </w:p>
    <w:p>
      <w:pPr>
        <w:pStyle w:val="ListBullet"/>
      </w:pPr>
      <w:r>
        <w:t>Ricordo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famiglia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famiglia;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della famiglia puo scrivere fatti per quella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15 domande; lo sblocco standard e alle 20:00 locali del giorno.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tre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famiglia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famiglia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famiglia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famiglia.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famiglia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famiglia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La cancellazione dell'agenzia e orchestrata per evitare blob orfani e per rispettare eventuali obblighi di conservazione.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famiglia,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1.1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Logico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