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Rapporto completo di esecuzione dei test</w:t>
      </w:r>
    </w:p>
    <w:p>
      <w:pPr>
        <w:spacing w:after="320"/>
      </w:pPr>
      <w:r>
        <w:rPr>
          <w:color w:val="5E6B73"/>
          <w:sz w:val="26"/>
        </w:rPr>
        <w:t>SMF Travel - copertura dei casi d'uso funzionali, visuali e Analytics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Campo</w:t>
            </w:r>
          </w:p>
        </w:tc>
        <w:tc>
          <w:tcPr>
            <w:tcW w:type="dxa" w:w="6984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Valore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sz w:val="16"/>
              </w:rPr>
              <w:t>Data esecuzione</w:t>
            </w:r>
          </w:p>
        </w:tc>
        <w:tc>
          <w:tcPr>
            <w:tcW w:type="dxa" w:w="6984"/>
            <w:vAlign w:val="top"/>
          </w:tcPr>
          <w:p>
            <w:pPr>
              <w:spacing w:after="40"/>
            </w:pPr>
            <w:r>
              <w:rPr>
                <w:sz w:val="16"/>
              </w:rPr>
              <w:t>30 agosto 2026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sz w:val="16"/>
              </w:rPr>
              <w:t>Ambiente</w:t>
            </w:r>
          </w:p>
        </w:tc>
        <w:tc>
          <w:tcPr>
            <w:tcW w:type="dxa" w:w="6984"/>
            <w:vAlign w:val="top"/>
          </w:tcPr>
          <w:p>
            <w:pPr>
              <w:spacing w:after="40"/>
            </w:pPr>
            <w:r>
              <w:rPr>
                <w:sz w:val="16"/>
              </w:rPr>
              <w:t>Produzione Vercel + Neon configurato localmente + repository commit 5342b8c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sz w:val="16"/>
              </w:rPr>
              <w:t>Sorgente</w:t>
            </w:r>
          </w:p>
        </w:tc>
        <w:tc>
          <w:tcPr>
            <w:tcW w:type="dxa" w:w="6984"/>
            <w:vAlign w:val="top"/>
          </w:tcPr>
          <w:p>
            <w:pPr>
              <w:spacing w:after="40"/>
            </w:pPr>
            <w:r>
              <w:rPr>
                <w:sz w:val="16"/>
              </w:rPr>
              <w:t>SMF_Travel_Casi_Uso_Completi_v1.0.docx, inclusa appendice Analytics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sz w:val="16"/>
              </w:rPr>
              <w:t>Casi censiti</w:t>
            </w:r>
          </w:p>
        </w:tc>
        <w:tc>
          <w:tcPr>
            <w:tcW w:type="dxa" w:w="6984"/>
            <w:vAlign w:val="top"/>
          </w:tcPr>
          <w:p>
            <w:pPr>
              <w:spacing w:after="40"/>
            </w:pPr>
            <w:r>
              <w:rPr>
                <w:sz w:val="16"/>
              </w:rPr>
              <w:t>103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</w:pPr>
            <w:r>
              <w:rPr>
                <w:sz w:val="16"/>
              </w:rPr>
              <w:t>Metodo</w:t>
            </w:r>
          </w:p>
        </w:tc>
        <w:tc>
          <w:tcPr>
            <w:tcW w:type="dxa" w:w="6984"/>
            <w:vAlign w:val="top"/>
          </w:tcPr>
          <w:p>
            <w:pPr>
              <w:spacing w:after="40"/>
            </w:pPr>
            <w:r>
              <w:rPr>
                <w:sz w:val="16"/>
              </w:rPr>
              <w:t>Suite automatiche, dry-run DB, smoke HTTP, browser pubblico e verifica statica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Esito esecutivo</w:t>
      </w:r>
    </w:p>
    <w:p>
      <w:r>
        <w:t>Sono stati censiti 103 casi d'uso. L'esecuzione ha prodotto 20 casi superati, 63 parzialmente coperti, 20 bloccati da prerequisiti esterni e 0 casi completamente non superati. Le suite strutturali, la build, il modello dati, le nuove migrazioni 093-102, Analytics, chat e gestione spese risultano conformi.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88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Esito</w:t>
            </w:r>
          </w:p>
        </w:tc>
        <w:tc>
          <w:tcPr>
            <w:tcW w:type="dxa" w:w="108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Casi</w:t>
            </w:r>
          </w:p>
        </w:tc>
        <w:tc>
          <w:tcPr>
            <w:tcW w:type="dxa" w:w="6192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Interpretazione</w:t>
            </w:r>
          </w:p>
        </w:tc>
      </w:tr>
      <w:tr>
        <w:tc>
          <w:tcPr>
            <w:tcW w:type="dxa" w:w="2088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080"/>
            <w:vAlign w:val="top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6192"/>
            <w:vAlign w:val="top"/>
          </w:tcPr>
          <w:p>
            <w:pPr>
              <w:spacing w:after="40"/>
            </w:pPr>
            <w:r>
              <w:rPr>
                <w:sz w:val="16"/>
              </w:rPr>
              <w:t>Flusso o contratto dimostrato da esecuzione ripetibile.</w:t>
            </w:r>
          </w:p>
        </w:tc>
      </w:tr>
      <w:tr>
        <w:tc>
          <w:tcPr>
            <w:tcW w:type="dxa" w:w="2088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1080"/>
            <w:vAlign w:val="top"/>
          </w:tcPr>
          <w:p>
            <w:pPr>
              <w:spacing w:after="40"/>
            </w:pPr>
            <w:r>
              <w:rPr>
                <w:sz w:val="16"/>
              </w:rPr>
              <w:t>63</w:t>
            </w:r>
          </w:p>
        </w:tc>
        <w:tc>
          <w:tcPr>
            <w:tcW w:type="dxa" w:w="6192"/>
            <w:vAlign w:val="top"/>
          </w:tcPr>
          <w:p>
            <w:pPr>
              <w:spacing w:after="40"/>
            </w:pPr>
            <w:r>
              <w:rPr>
                <w:sz w:val="16"/>
              </w:rPr>
              <w:t>Copertura tecnica positiva, ma manca almeno una prova UI/integrata.</w:t>
            </w:r>
          </w:p>
        </w:tc>
      </w:tr>
      <w:tr>
        <w:tc>
          <w:tcPr>
            <w:tcW w:type="dxa" w:w="2088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080"/>
            <w:vAlign w:val="top"/>
          </w:tcPr>
          <w:p>
            <w:pPr>
              <w:spacing w:after="40"/>
            </w:pPr>
            <w:r>
              <w:rPr>
                <w:sz w:val="16"/>
              </w:rPr>
              <w:t>20</w:t>
            </w:r>
          </w:p>
        </w:tc>
        <w:tc>
          <w:tcPr>
            <w:tcW w:type="dxa" w:w="6192"/>
            <w:vAlign w:val="top"/>
          </w:tcPr>
          <w:p>
            <w:pPr>
              <w:spacing w:after="40"/>
            </w:pPr>
            <w:r>
              <w:rPr>
                <w:sz w:val="16"/>
              </w:rPr>
              <w:t>Prerequisito esterno assente; non equivale a difetto.</w:t>
            </w:r>
          </w:p>
        </w:tc>
      </w:tr>
      <w:tr>
        <w:tc>
          <w:tcPr>
            <w:tcW w:type="dxa" w:w="2088"/>
            <w:vAlign w:val="top"/>
            <w:shd w:fill="FCE4E4"/>
          </w:tcPr>
          <w:p>
            <w:pPr>
              <w:spacing w:after="40"/>
            </w:pPr>
            <w:r>
              <w:rPr>
                <w:sz w:val="16"/>
              </w:rPr>
              <w:t>NON SUPERATO</w:t>
            </w:r>
          </w:p>
        </w:tc>
        <w:tc>
          <w:tcPr>
            <w:tcW w:type="dxa" w:w="1080"/>
            <w:vAlign w:val="top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6192"/>
            <w:vAlign w:val="top"/>
          </w:tcPr>
          <w:p>
            <w:pPr>
              <w:spacing w:after="40"/>
            </w:pPr>
            <w:r>
              <w:rPr>
                <w:sz w:val="16"/>
              </w:rPr>
              <w:t>Comportamento osservato contrario al criterio del caso.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Evidenze tecniche principali</w:t>
      </w:r>
    </w:p>
    <w:p>
      <w:pPr>
        <w:pStyle w:val="ListBullet"/>
        <w:spacing w:after="80"/>
      </w:pPr>
      <w:r>
        <w:t>Quality guard, TypeScript e build Next.js di produzione superati; 42 pagine generate.</w:t>
      </w:r>
    </w:p>
    <w:p>
      <w:pPr>
        <w:pStyle w:val="ListBullet"/>
        <w:spacing w:after="80"/>
      </w:pPr>
      <w:r>
        <w:t>Neon validato: 71 tabelle, 58 con RLS, nessun indice invalido, nessun vincolo non validato e nessuna tabella tenant senza indice agency_id leading.</w:t>
      </w:r>
    </w:p>
    <w:p>
      <w:pPr>
        <w:pStyle w:val="ListBullet"/>
        <w:spacing w:after="80"/>
      </w:pPr>
      <w:r>
        <w:t>Smoke Analytics superato con rollback: registrazione, lettura RLS, attore distinto e idempotenza.</w:t>
      </w:r>
    </w:p>
    <w:p>
      <w:pPr>
        <w:pStyle w:val="ListBullet"/>
        <w:spacing w:after="80"/>
      </w:pPr>
      <w:r>
        <w:t>Smoke spese, chat, accesso agenzia e acceptance su owner, provisioning e cancellazione superati.</w:t>
      </w:r>
    </w:p>
    <w:p>
      <w:pPr>
        <w:pStyle w:val="ListBullet"/>
        <w:spacing w:after="80"/>
      </w:pPr>
      <w:r>
        <w:t>Dieci dry-run delle migrazioni 093-102 superati senza modifiche persistenti.</w:t>
      </w:r>
    </w:p>
    <w:p>
      <w:pPr>
        <w:pStyle w:val="ListBullet"/>
        <w:spacing w:after="80"/>
      </w:pPr>
      <w:r>
        <w:t>Template AWS SAM valido; pagine pubbliche, manifest PWA e service worker disponibili in produzione.</w:t>
      </w:r>
    </w:p>
    <w:p>
      <w:pPr>
        <w:pStyle w:val="Heading1"/>
        <w:keepNext/>
      </w:pPr>
      <w:r>
        <w:t>3. Anomalie e impedimenti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008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ID</w:t>
            </w:r>
          </w:p>
        </w:tc>
        <w:tc>
          <w:tcPr>
            <w:tcW w:type="dxa" w:w="1008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Severita</w:t>
            </w:r>
          </w:p>
        </w:tc>
        <w:tc>
          <w:tcPr>
            <w:tcW w:type="dxa" w:w="144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Tipo</w:t>
            </w:r>
          </w:p>
        </w:tc>
        <w:tc>
          <w:tcPr>
            <w:tcW w:type="dxa" w:w="360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Descrizione e impatto</w:t>
            </w:r>
          </w:p>
        </w:tc>
        <w:tc>
          <w:tcPr>
            <w:tcW w:type="dxa" w:w="3744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Azione raccomandata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DEF-001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Applicazione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Le API protette analytics, chat, expenses e trip-data rispondono 307 verso /login quando la sessione manca. Un client fetch puo ricevere HTML invece del JSON 401 previsto.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Escludere /api dal redirect del middleware oppure restituire NextResponse JSON 401 per le API.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BLK-001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Ambiente test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Manca una DATABASE_URL del ruolo smf_app. Diciotto suite legacy non possono verificare RLS senza usare impropriamente la connessione owner.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Fornire una URL pooled dedicata al ruolo smf_app nell'ambiente di collaudo.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BLK-002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La fixture gamification pubblicata non e disponibile; acceptance quiz/sfide non parte.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Creare una partenza sintetica versionata con giochi, quiz, contest e due viaggiatori.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BLK-003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Integrazioni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R2/SQS/Bedrock non sono stati invocati: credenziali R2 e coda di collaudo non sono esposte localmente.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Predisporre risorse sandbox e budget massimo per test AI/documentali.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BLK-004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Browser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Chrome non contiene una sessione aperta dell'app; disponibili solo schede Cloudflare, Neon e Gmail.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Preparare utenze test superuser, agenzia e viaggiatore e una sessione dedicata.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BLK-005</w:t>
            </w:r>
          </w:p>
        </w:tc>
        <w:tc>
          <w:tcPr>
            <w:tcW w:type="dxa" w:w="1008"/>
            <w:vAlign w:val="top"/>
          </w:tcPr>
          <w:p>
            <w:pPr>
              <w:spacing w:after="40"/>
            </w:pPr>
            <w:r>
              <w:rPr>
                <w:sz w:val="16"/>
              </w:rPr>
              <w:t>Bassa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Dispositivo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>
              <w:rPr>
                <w:sz w:val="16"/>
              </w:rPr>
              <w:t>Installazione PWA, modalita aereo, push e safe-area non sono verificabili senza smartphone reale.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>
              <w:rPr>
                <w:sz w:val="16"/>
              </w:rPr>
              <w:t>Eseguire matrice iOS Safari e Android Chrome su almeno due dispositivi.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Matrice dei comandi eseguiti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384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Comando / controllo</w:t>
            </w:r>
          </w:p>
        </w:tc>
        <w:tc>
          <w:tcPr>
            <w:tcW w:type="dxa" w:w="1512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Esito</w:t>
            </w:r>
          </w:p>
        </w:tc>
        <w:tc>
          <w:tcPr>
            <w:tcW w:type="dxa" w:w="1656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Durata / ampiezza</w:t>
            </w:r>
          </w:p>
        </w:tc>
        <w:tc>
          <w:tcPr>
            <w:tcW w:type="dxa" w:w="2808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Evidenza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test:plan-regressions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quality:guard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9.4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db:validate:v3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3.4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acceptance:v3:agency-access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3.2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acceptance:v3:agency-overview-read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acceptance:v3:agency-owner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2.9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acceptance:v3:gamification-write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acceptance:v3:participant-provisioning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2.5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acceptance:v3:superadmin-mutations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acceptance:v3:trip-reference-agency-deletion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3.7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acceptance:v3:write-cutover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smoke:normalized-document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Rieseguito fuori sandbox: DOCX normalizzato valido (14.340 byte).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smoke:r2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1.7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smoke:superadmin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1.7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smoke:travel-catalog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1.7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smoke:v3:agency-access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2.0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smoke:v3:agency-analytics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2.3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smoke:v3:agency-deletion-e2e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1.7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smoke:v3:chat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2.4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smoke:v3:consolidated-paths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1.5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smoke:v3:expenses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2.7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Comando completato con exit code 0.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smoke:v3:gamification-read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1.5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smoke:v3:identity-auth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smoke:v3:invitation-auth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smoke:v3:journey-management-read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1.5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smoke:v3:legacy-media-auth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smoke:v3:media-download-auth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smoke:v3:media-mutations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smoke:v3:operational-read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smoke:v3:participant-provisioning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smoke:v3:superadmin-mutations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1.5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smoke:v3:superadmin-read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1.7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smoke:v3:travel-catalog-read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smoke:v3:traveler-api-auth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1.6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smoke:v3:traveler-scope-read</w:t>
            </w:r>
          </w:p>
        </w:tc>
        <w:tc>
          <w:tcPr>
            <w:tcW w:type="dxa" w:w="1512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1.7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Configurazione runtime o fixture assente; nessuna evidenza di difetto applicativo dal log.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db:migrate:v3:web-push:dry-run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db:migrate:v3:scheduled-push:dry-run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2.3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db:migrate:v3:chat:dry-run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2.2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db:migrate:v3:minor-consent:dry-run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2.7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db:migrate:v3:photo-evidence-limit:dry-run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2.1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db:migrate:v3:photo-contest-lifecycle:dry-run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2.1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db:migrate:v3:expense-shares-grants:dry-run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2.0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db:migrate:v3:impersonation-audit:dry-run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2.0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db:migrate:v3:impersonation-revalidation:dry-run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2.0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db:migrate:v3:agency-analytics:dry-run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2.3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Dry-run completato senza modifiche persistenti.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aws:validate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12,1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Template SAM valido; rieseguito con accesso ai metadati SAM locali.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build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~20 s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Next.js 16: compilazione, TypeScript e generazione di 42 pagine completate.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HTTP pagine e PWA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6 endpoint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Login, accessibilita, manifest, service worker e redirect home conformi.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HTTP API anonime</w:t>
            </w:r>
          </w:p>
        </w:tc>
        <w:tc>
          <w:tcPr>
            <w:tcW w:type="dxa" w:w="1512"/>
            <w:vAlign w:val="top"/>
            <w:shd w:fill="FCE4E4"/>
          </w:tcPr>
          <w:p>
            <w:pPr>
              <w:spacing w:after="40"/>
            </w:pPr>
            <w:r>
              <w:rPr>
                <w:sz w:val="16"/>
              </w:rPr>
              <w:t>NON 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4 endpoint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Analytics, chat, spese e trip-data rispondono 307 invece del contratto JSON 401 (DEF-001).</w:t>
            </w:r>
          </w:p>
        </w:tc>
      </w:tr>
      <w:tr>
        <w:tc>
          <w:tcPr>
            <w:tcW w:type="dxa" w:w="3384"/>
            <w:vAlign w:val="top"/>
          </w:tcPr>
          <w:p>
            <w:pPr>
              <w:spacing w:after="40"/>
            </w:pPr>
            <w:r>
              <w:rPr>
                <w:sz w:val="16"/>
              </w:rPr>
              <w:t>Browser pubblico</w:t>
            </w:r>
          </w:p>
        </w:tc>
        <w:tc>
          <w:tcPr>
            <w:tcW w:type="dxa" w:w="1512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1656"/>
            <w:vAlign w:val="top"/>
          </w:tcPr>
          <w:p>
            <w:pPr>
              <w:spacing w:after="40"/>
            </w:pPr>
            <w:r>
              <w:rPr>
                <w:sz w:val="16"/>
              </w:rPr>
              <w:t>3 pagine</w:t>
            </w:r>
          </w:p>
        </w:tc>
        <w:tc>
          <w:tcPr>
            <w:tcW w:type="dxa" w:w="2808"/>
            <w:vAlign w:val="top"/>
          </w:tcPr>
          <w:p>
            <w:pPr>
              <w:spacing w:after="40"/>
            </w:pPr>
            <w:r>
              <w:rPr>
                <w:sz w:val="16"/>
              </w:rPr>
              <w:t>Login, recupero username e accessibilita caricati senza overflow nel viewport effettivo.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</w:pPr>
      <w:r>
        <w:t>5. Matrice completa dei 103 casi d'uso</w:t>
      </w:r>
    </w:p>
    <w:p>
      <w:r>
        <w:t>Ogni caso e stato valutato. Gli esiti parziali e bloccati indicano precisamente quale evidenza manca; non sono stati trasformati artificialmente in esiti positivi.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144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ID</w:t>
            </w:r>
          </w:p>
        </w:tc>
        <w:tc>
          <w:tcPr>
            <w:tcW w:type="dxa" w:w="4032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Caso d'uso</w:t>
            </w:r>
          </w:p>
        </w:tc>
        <w:tc>
          <w:tcPr>
            <w:tcW w:type="dxa" w:w="1656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Esito</w:t>
            </w:r>
          </w:p>
        </w:tc>
        <w:tc>
          <w:tcPr>
            <w:tcW w:type="dxa" w:w="720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Evidenza / limite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UC-IAM-01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Accesso con username e password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Struttura, route e test negativi verificati; manca ciclo Cognito/e-mail autenticato completo.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UC-IAM-02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Invito personale e attivazione account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Struttura, route e test negativi verificati; manca ciclo Cognito/e-mail autenticato completo.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UC-IAM-03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Recupero password per username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Struttura, route e test negativi verificati; manca ciclo Cognito/e-mail autenticato completo.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UC-IAM-04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Logout, rinnovo e blocco delle sessioni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agency-access/owner con rollback; regressioni autenticazione superate.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UC-IAM-05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Controllo disponibilità username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agency-access/owner con rollback; regressioni autenticazione superate.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UC-IAM-06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Login come utente per assistenza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agency-access/owner con rollback; regressioni autenticazione superate.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Cruscotto superuser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schema validi; verifica UI autenticata non disponibile nella sessione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Creazione agenzia e primo responsabile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transazionale su agenzia/responsabile/cancellazione superata con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Modifica dati agenzia e contatti responsabile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transazionale su agenzia/responsabile/cancellazione superata con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Branding white-label dell’agenzia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schema validi; verifica UI autenticata non disponibile nella sessione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Sospensione e riattivazione agenzia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transazionale su agenzia/responsabile/cancellazione superata con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Sostituzione del responsabile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transazionale su agenzia/responsabile/cancellazione superata con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UC-ADM-07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Cancellazione asincrona dell’agenzia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transazionale su agenzia/responsabile/cancellazione superata con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UC-AGY-01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Cruscotto agenzia e catalogo viaggi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 e componenti compilano; operazioni mutate non eseguite sui dati reali.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UC-AGY-02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Gestione agenti dell’agenzia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 e componenti compilano; operazioni mutate non eseguite sui dati reali.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UC-AGY-03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Chat operativa agenzia-gruppo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chat operativo superato con isolamento tenant.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Creazione viaggio da preventivo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upload reale e chiamate R2/SQS/Bedrock con fixture e budget di collaudo dedicati.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Elaborazione asincrona OCR e AI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upload reale e chiamate R2/SQS/Bedrock con fixture e budget di collaudo dedicati.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Interpretazione del programma e dati commerciali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Revisione umana della bozza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Salvataggio e ripresa della revisione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Pubblicazione controllata del programma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upload reale e chiamate R2/SQS/Bedrock con fixture e budget di collaudo dedicati.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Cataloghi condivisi di paesi, città, siti e hotel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UC-TRP-08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Generazione informazioni utili per paese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upload reale e chiamate R2/SQS/Bedrock con fixture e budget di collaudo dedicati.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UC-TRP-09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Generazione frasario locale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upload reale e chiamate R2/SQS/Bedrock con fixture e budget di collaudo dedicati.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UC-TRP-10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Generazione quiz, missioni, bingo, giochi e contest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upload reale e chiamate R2/SQS/Bedrock con fixture e budget di collaudo dedicati.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UC-TRP-11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Download preventivo originale e normalizzato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UC-TRP-12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Modifica del programma pubblicato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UC-TRP-13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Gestione variazioni operative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Contratti, generazione DOCX e schema verificati; flusso esterno completo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UC-TRP-14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Eliminazione viaggio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Acceptance cancellazione viaggio/agenzia e vincoli referenziali superata.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UC-GRP-01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Creazione ed eliminazione gruppi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Migrazioni e provisioning verificati; alcune azioni UI richiedono sessione autenticata.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UC-GRP-02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Inserimento e invito viaggiatore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Provisioning gruppo e viaggiatore superato transazionalmente.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UC-GRP-03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Rimozione viaggiatore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Migrazioni e provisioning verificati; alcune azioni UI richiedono sessione autenticata.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UC-GRP-04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Assegnazione e cessione capogruppo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Migrazioni e provisioning verificati; alcune azioni UI richiedono sessione autenticata.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UC-GRP-05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Partecipazione individuale ai giochi di viaggio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Migrazioni e provisioning verificati; alcune azioni UI richiedono sessione autenticata.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UC-GRP-06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Privacy e consenso immagini per minori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Migrazioni e provisioning verificati; alcune azioni UI richiedono sessione autenticata.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UC-DOC-01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Documenti di viaggio per giornata e gruppo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Route, scope e build verificati; upload/download autenticato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UC-DOC-02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Download e consultazione documenti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Route, scope e build verificati; upload/download autenticato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UC-DOC-03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Cancellazione documenti da parte dell’agenzia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Route, scope e build verificati; upload/download autenticato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UC-DOC-04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Biglietti collegati alle attività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Route, scope e build verificati; upload/download autenticato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Home e navigazione mobile del viaggio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Programma giornaliero ordinato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Mappa operativa del giorno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Informazioni utili e orologi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Frasario di viaggio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Meteo e contesto del giorno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UC-EXP-07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SOS e duty of care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Componenti e dati compilano; pagina viaggiatore autenticata non disponibile in browser.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UC-FIN-01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Registrazione spesa di gruppo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spese e quote superato: quadratura valuta, split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UC-FIN-02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Totale speso in euro e totali per valuta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spese e quote superato: quadratura valuta, split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UC-FIN-03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Prelievi e cambi valuta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spese e quote superato: quadratura valuta, split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UC-FIN-04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Eliminazione spese, prelievi e cambi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spese e quote superato: quadratura valuta, split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UC-FIN-05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Pareggio conti del gruppo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spese e quote superato: quadratura valuta, split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UC-FIN-06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Inserimenti finanziari offline e sincronizzazione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Backend finanziario verificato; offline-online browser non eseguito.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Missioni giornaliere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Massimo due tentativi per missione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Bingo in stile tombola napoletana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Punteggi ambo, terno, quaterna, cinquina e tombola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Quiz giornalieri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Giochi semplici a tema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Contest fotografico: selezione e conferma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UC-GAM-08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Valutazione AI e scelta della foto migliore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UC-GAM-09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Chiusura contest e classifiche temporali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Fixture gamification pubblicata non disponibile; scoring AI e chiusura schedulata non eseguiti.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UC-GAM-10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Classifiche e profilo Sfide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 e codice verificati; scenario end-to-end con contenuti pubblicati non disponibile.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UC-MEM-01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Ricordi e diario di viaggio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 e generatore presenti e compilati; prova utente completa non eseguita.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UC-MEM-02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Album finale PDF e condivisione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dati o sessione autenticata esterna non disponibili nell'ambiente di collaudo.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UC-MEM-03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Feedback sul programma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Route e generatore presenti e compilati; prova utente completa non eseguita.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UC-PWA-01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Installazione PWA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smartphone/sessione autenticata, installazione, modalita aereo o permesso push reale.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UC-PWA-02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Consultazione offline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smartphone/sessione autenticata, installazione, modalita aereo o permesso push reale.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UC-PWA-03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Aggiornamento della PWA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Manifest, service worker e asset HTTP 200; prova fisica su dispositivo non eseguita.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UC-PWA-04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Notifiche push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smartphone/sessione autenticata, installazione, modalita aereo o permesso push reale.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UC-PWA-05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Promemoria programmati</w:t>
            </w:r>
          </w:p>
        </w:tc>
        <w:tc>
          <w:tcPr>
            <w:tcW w:type="dxa" w:w="1656"/>
            <w:vAlign w:val="top"/>
            <w:shd w:fill="E8EEF5"/>
          </w:tcPr>
          <w:p>
            <w:pPr>
              <w:spacing w:after="40"/>
            </w:pPr>
            <w:r>
              <w:rPr>
                <w:sz w:val="16"/>
              </w:rPr>
              <w:t>BLOCCATO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Richiede smartphone/sessione autenticata, installazione, modalita aereo o permesso push reale.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UC-PWA-06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Accessibilità e preferenze inclusive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Manifest, service worker e asset HTTP 200; prova fisica su dispositivo non eseguita.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Pagina di login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Percorso pubblico verificato in produzione tramite browser e HTTP 200.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Attivazione e recupero account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Percorso pubblico verificato in produzione tramite browser e HTTP 200.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Cruscotto superuser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Gestione agenzie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Elenco utenti e login-come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Dashboard agenzia ed elenco viaggi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Gestione agenti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UC-VIS-08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Import e revisione preventivo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UC-VIS-09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Programma pubblicato modificabile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UC-VIS-10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Gruppi e viaggiatori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Documenti del viaggio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Chat operativa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Home e programma viaggiatore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Informazioni, frasi, documenti e SOS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Spese e cassa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Sfide e classifiche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UC-VIS-17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PWA, installazione e accessibilità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Build e route verificate; pagina riservata non ispezionabile senza sessione Chrome dell'app.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Aprire la dashboard Analytics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 e build verificati; dashboard autenticata e dati reali non ispezionabili. API anonima devia con 307 (DEF-001).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Filtrare per periodo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 e build verificati; dashboard autenticata e dati reali non ispezionabili. API anonima devia con 307 (DEF-001).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Filtrare per partenza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 e build verificati; dashboard autenticata e dati reali non ispezionabili. API anonima devia con 307 (DEF-001).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Verificare il funnel di adozione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 e build verificati; dashboard autenticata e dati reali non ispezionabili. API anonima devia con 307 (DEF-001).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UC-ANA-005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Registrare una consultazione programma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Analytics superato: evento, RLS, idempotenza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UC-ANA-006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Registrare l'uso documenti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 e build verificati; dashboard autenticata e dati reali non ispezionabili. API anonima devia con 307 (DEF-001).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UC-ANA-007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Misurare richieste di assistenza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 e build verificati; dashboard autenticata e dati reali non ispezionabili. API anonima devia con 307 (DEF-001).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UC-ANA-008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Misurare engagement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 e build verificati; dashboard autenticata e dati reali non ispezionabili. API anonima devia con 307 (DEF-001).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UC-ANA-009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Analizzare feedback per tappa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 e build verificati; dashboard autenticata e dati reali non ispezionabili. API anonima devia con 307 (DEF-001).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UC-ANA-010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Gestire assenza di dati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 e build verificati; dashboard autenticata e dati reali non ispezionabili. API anonima devia con 307 (DEF-001).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UC-ANA-011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Verificare isolamento tenant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 e build verificati; dashboard autenticata e dati reali non ispezionabili. API anonima devia con 307 (DEF-001).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UC-ANA-012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Verificare resilienza tracking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 e build verificati; dashboard autenticata e dati reali non ispezionabili. API anonima devia con 307 (DEF-001).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UC-ANA-013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Verificare idempotenza e anti-replay</w:t>
            </w:r>
          </w:p>
        </w:tc>
        <w:tc>
          <w:tcPr>
            <w:tcW w:type="dxa" w:w="1656"/>
            <w:vAlign w:val="top"/>
            <w:shd w:fill="DFF3E6"/>
          </w:tcPr>
          <w:p>
            <w:pPr>
              <w:spacing w:after="40"/>
            </w:pPr>
            <w:r>
              <w:rPr>
                <w:sz w:val="16"/>
              </w:rPr>
              <w:t>SUPERATO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Smoke Analytics superato: evento, RLS, idempotenza e rollback.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UC-ANA-014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</w:pPr>
            <w:r>
              <w:rPr>
                <w:sz w:val="16"/>
              </w:rPr>
              <w:t>Verificare accessibilita e responsive</w:t>
            </w:r>
          </w:p>
        </w:tc>
        <w:tc>
          <w:tcPr>
            <w:tcW w:type="dxa" w:w="1656"/>
            <w:vAlign w:val="top"/>
            <w:shd w:fill="FFF2CC"/>
          </w:tcPr>
          <w:p>
            <w:pPr>
              <w:spacing w:after="40"/>
            </w:pPr>
            <w:r>
              <w:rPr>
                <w:sz w:val="16"/>
              </w:rPr>
              <w:t>PARZIALE</w:t>
            </w:r>
          </w:p>
        </w:tc>
        <w:tc>
          <w:tcPr>
            <w:tcW w:type="dxa" w:w="7200"/>
            <w:vAlign w:val="top"/>
          </w:tcPr>
          <w:p>
            <w:pPr>
              <w:spacing w:after="40"/>
            </w:pPr>
            <w:r>
              <w:rPr>
                <w:sz w:val="16"/>
              </w:rPr>
              <w:t>Schema, query e build verificati; dashboard autenticata e dati reali non ispezionabili. API anonima devia con 307 (DEF-001).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936" w:right="720" w:bottom="936" w:left="720" w:header="432" w:footer="432" w:gutter="0"/>
          <w:cols w:space="720"/>
          <w:docGrid w:linePitch="360"/>
        </w:sectPr>
      </w:pPr>
    </w:p>
    <w:p>
      <w:pPr>
        <w:pStyle w:val="Heading1"/>
        <w:keepNext/>
      </w:pPr>
      <w:r>
        <w:t>6. Piano di completamento del collaudo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44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Priorita</w:t>
            </w:r>
          </w:p>
        </w:tc>
        <w:tc>
          <w:tcPr>
            <w:tcW w:type="dxa" w:w="7920"/>
            <w:shd w:fill="F2F4F7"/>
            <w:vAlign w:val="center"/>
          </w:tcPr>
          <w:p>
            <w:r>
              <w:rPr>
                <w:b/>
                <w:color w:val="12313B"/>
                <w:sz w:val="17"/>
              </w:rPr>
              <w:t>Attivita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rPr>
                <w:sz w:val="16"/>
              </w:rPr>
              <w:t>Correggere DEF-001 e aggiungere un test automatico che richieda JSON 401 sulle API anonime.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P0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rPr>
                <w:sz w:val="16"/>
              </w:rPr>
              <w:t>Configurare DATABASE_URL_TEST con ruolo smf_app e rieseguire le 18 suite bloccate.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rPr>
                <w:sz w:val="16"/>
              </w:rPr>
              <w:t>Creare fixture sintetiche stabili per gamification, documenti, viaggio pubblicato e due tenant.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rPr>
                <w:sz w:val="16"/>
              </w:rPr>
              <w:t>Eseguire test autenticati nei tre ruoli: superuser, responsabile/agente e viaggiatore.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P1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rPr>
                <w:sz w:val="16"/>
              </w:rPr>
              <w:t>Eseguire flusso R2-SQS-Bedrock su risorse sandbox con verifica record Neon e cost cap.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40"/>
            </w:pPr>
            <w:r>
              <w:rPr>
                <w:sz w:val="16"/>
              </w:rPr>
              <w:t>P2</w:t>
            </w:r>
          </w:p>
        </w:tc>
        <w:tc>
          <w:tcPr>
            <w:tcW w:type="dxa" w:w="7920"/>
            <w:vAlign w:val="top"/>
          </w:tcPr>
          <w:p>
            <w:pPr>
              <w:spacing w:after="40"/>
            </w:pPr>
            <w:r>
              <w:rPr>
                <w:sz w:val="16"/>
              </w:rPr>
              <w:t>Eseguire collaudo fisico PWA su iOS e Android: installazione, offline, sync e push.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Conclusione</w:t>
      </w:r>
    </w:p>
    <w:p>
      <w:r>
        <w:t>La baseline tecnica e stabile e le nuove funzionalita risultano integrate senza regressioni di build o schema. Il prodotto non puo tuttavia essere dichiarato collaudato al 100% sui 103 casi finche non vengono forniti ruolo DB runtime, fixture controllate, sessioni browser dedicate e dispositivi mobili reali. L'unico difetto applicativo riproducibile emerso in questa esecuzione e DEF-001.</w:t>
      </w:r>
    </w:p>
    <w:sectPr w:rsidR="00FC693F" w:rsidRPr="0006063C" w:rsidSect="00034616">
      <w:type w:val="continuous"/>
      <w:pgSz w:w="12240" w:h="15840" w:orient="landscape"/>
      <w:pgMar w:top="1440" w:right="1440" w:bottom="144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Uso interno - 30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E6B73"/>
        <w:sz w:val="18"/>
      </w:rPr>
      <w:t>SMF Travel | Rapporto di collaudo completo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12313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Rapporto completo di esecuzione dei test</dc:title>
  <dc:subject>Esiti, anomalie, blocchi e copertura dei 103 casi d'uso</dc:subject>
  <dc:creator>SMF Travel Quality Engineering</dc:creator>
  <cp:keywords>SMF Travel, test, casi d'uso, collaudo, Analytics, PWA, Neon, Vercel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