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35 casi superati, 55 parzialmente coperti, 17 bloccati da prerequisiti esterni e 0 casi completamente non superati. Le suite strutturali, la build, il modello dati, le migrazioni fino alla 109, Analytics, chat, gestione spese e governance contenuti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35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55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17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109 verificate: KPI, registro variazioni, governance fonti, contratti runtime e dipendenza crittografica pgcrypto isolata.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ruolo smf_app e rollback: quiz giornalieri e giochi tematici salvati; grant quiz verificato.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ruolo smf_app e rollback: quiz giornalieri e giochi tematici salvati; grant quiz verificato.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dati o sessione autenticata esterna non disponibili nell'ambiente di collaudo.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Il prodotto non puo tuttavia essere dichiarato collaudato al 100% sui 107 casi finche non vengono forniti ruolo DB runtime locale, fixture controllate, scenari mutativi sintetici e dispositivi mobili reali. L'unico difetto applicativo riproducibile emerso in questa esecuzione, DEF-001, e stato corretto e ritestato.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