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Gruppo/party: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gruppo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 gruppo.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037" w:bottom="1008" w:left="1037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p>
      <w:r>
        <w:br w:type="page"/>
      </w:r>
    </w:p>
    <w:p>
      <w:pPr>
        <w:pStyle w:val="Heading1"/>
        <w:keepNext/>
      </w:pPr>
      <w:r>
        <w:t>Addendum architetturale 2026-09-02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2"/>
        <w:keepNext/>
      </w:pPr>
      <w:r>
        <w:t>A. Governance dei profili Paese per tenant</w:t>
      </w:r>
    </w:p>
    <w:p>
      <w:r>
        <w:t>Il controllo editoriale dei contenuti sensibili e stato spostato dal piano piattaforma al piano tenant. Il superuser amministra agenzie e infrastruttura ma non approva informazioni sanitarie, consolari, documentali o di sicurezza.</w:t>
      </w:r>
    </w:p>
    <w:p>
      <w:pPr>
        <w:pStyle w:val="ListBullet"/>
      </w:pPr>
      <w:r>
        <w:t>UI: app/agenzia/informazioni-paese, accessibile soltanto all'owner dell'agenzia.</w:t>
      </w:r>
    </w:p>
    <w:p>
      <w:pPr>
        <w:pStyle w:val="ListBullet"/>
      </w:pPr>
      <w:r>
        <w:t>Authorization: requireAgencyOwnerActor esclude esplicitamente superadmin, agenti e membri non-owner.</w:t>
      </w:r>
    </w:p>
    <w:p>
      <w:pPr>
        <w:pStyle w:val="ListBullet"/>
      </w:pPr>
      <w:r>
        <w:t>Stored API: app.read_country_profiles_for_review_v3 e app.review_country_profile_v3 ricevono il contesto agenzia e applicano controllo sul Paese usato dal tenant.</w:t>
      </w:r>
    </w:p>
    <w:p>
      <w:pPr>
        <w:pStyle w:val="ListBullet"/>
      </w:pPr>
      <w:r>
        <w:t>Persistenza: ref.country_profile_agency_reviews registra decisione per agency_id, country_id e profile_version.</w:t>
      </w:r>
    </w:p>
    <w:p>
      <w:pPr>
        <w:pStyle w:val="ListBullet"/>
      </w:pPr>
      <w:r>
        <w:t>Runtime: app.read_verified_country_profile_v3 espone il profilo soltanto quando esiste l'approvazione dell'agenzia per la versione corrente.</w:t>
      </w:r>
    </w:p>
    <w:p>
      <w:pPr>
        <w:pStyle w:val="Heading2"/>
        <w:keepNext/>
      </w:pPr>
      <w:r>
        <w:t>B. Gate e sequenza di pubblicazione</w:t>
      </w:r>
    </w:p>
    <w:p>
      <w:pPr>
        <w:pStyle w:val="ListNumber"/>
      </w:pPr>
      <w:r>
        <w:t>Il parser identifica i Paesi del viaggio e tenta la lettura del profilo verificato nel contesto tenant.</w:t>
      </w:r>
    </w:p>
    <w:p>
      <w:pPr>
        <w:pStyle w:val="ListNumber"/>
      </w:pPr>
      <w:r>
        <w:t>Se il profilo manca, il sistema prepara o aggiorna il candidato e sospende la prima elaborazione con messaggio operativo.</w:t>
      </w:r>
    </w:p>
    <w:p>
      <w:pPr>
        <w:pStyle w:val="ListNumber"/>
      </w:pPr>
      <w:r>
        <w:t>Il responsabile verifica fonti, scadenza, disclaimer e sezioni sensibili e approva o respinge.</w:t>
      </w:r>
    </w:p>
    <w:p>
      <w:pPr>
        <w:pStyle w:val="ListNumber"/>
      </w:pPr>
      <w:r>
        <w:t>Un nuovo tentativo usa il profilo approvato e completa la materializzazione dei contenuti del viaggio.</w:t>
      </w:r>
    </w:p>
    <w:p>
      <w:pPr>
        <w:pStyle w:val="ListNumber"/>
      </w:pPr>
      <w:r>
        <w:t>Una nuova profile_version invalida implicitamente la decisione precedente e riattiva il gate.</w:t>
      </w:r>
    </w:p>
    <w:p>
      <w:pPr>
        <w:pStyle w:val="Heading2"/>
        <w:keepNext/>
      </w:pPr>
      <w:r>
        <w:t>C. Qualita AI del preventivo e delle immagini</w:t>
      </w:r>
    </w:p>
    <w:p>
      <w:pPr>
        <w:pStyle w:val="ListBullet"/>
      </w:pPr>
      <w:r>
        <w:t>La conversione del preventivo usa output strutturato, evidenze di origine, riconciliazione e validazione di qualita prima della pubblicazione.</w:t>
      </w:r>
    </w:p>
    <w:p>
      <w:pPr>
        <w:pStyle w:val="ListBullet"/>
      </w:pPr>
      <w:r>
        <w:t>La valutazione immagini riceve una descrizione semantica privata generata al publish: soggetto atteso, attributi, contesto, esclusioni e criteri di scoring.</w:t>
      </w:r>
    </w:p>
    <w:p>
      <w:pPr>
        <w:pStyle w:val="ListBullet"/>
      </w:pPr>
      <w:r>
        <w:t>I giudizi contest conservano punteggio totale, categorie, motivazione completa e timestamp; le foto fuori tema sono squalificate e il timestamp risolve i pari merito.</w:t>
      </w:r>
    </w:p>
    <w:p>
      <w:pPr>
        <w:pStyle w:val="ListBullet"/>
      </w:pPr>
      <w:r>
        <w:t>Memory e Trova l'intruso sostituiscono i giochi a risposta libera; il puzzle applica una catena di fallback basata su media autorizzati e logo tenant.</w:t>
      </w:r>
    </w:p>
    <w:p>
      <w:pPr>
        <w:pStyle w:val="Heading2"/>
        <w:keepNext/>
      </w:pPr>
      <w:r>
        <w:t>D. Verifica e deployment</w:t>
      </w:r>
    </w:p>
    <w:p>
      <w:r>
        <w:t>Migrazioni 127 e 128 applicate su Neon. Acceptance tenant-scoped, regressioni, build Next.js e Consolidation gate risultano superati al commit d771a32.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Architettura applicativa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c>
          <w:tcPr>
            <w:tcW w:type="dxa" w:w="5065"/>
          </w:tcPr>
          <w:p>
            <w:r>
              <w:t>Componente</w:t>
            </w:r>
          </w:p>
        </w:tc>
        <w:tc>
          <w:tcPr>
            <w:tcW w:type="dxa" w:w="5065"/>
          </w:tcPr>
          <w:p>
            <w:r>
              <w:t>Responsabilità</w:t>
            </w:r>
          </w:p>
        </w:tc>
        <w:tc>
          <w:tcPr>
            <w:tcW w:type="dxa" w:w="5065"/>
          </w:tcPr>
          <w:p>
            <w:r>
              <w:t>Controllo</w:t>
            </w:r>
          </w:p>
        </w:tc>
      </w:tr>
      <w:tr>
        <w:tc>
          <w:tcPr>
            <w:tcW w:type="dxa" w:w="5065"/>
          </w:tcPr>
          <w:p>
            <w:r>
              <w:t>IAM e assegnazioni</w:t>
            </w:r>
          </w:p>
        </w:tc>
        <w:tc>
          <w:tcPr>
            <w:tcW w:type="dxa" w:w="5065"/>
          </w:tcPr>
          <w:p>
            <w:r>
              <w:t>Assegna il ruolo Tour Leader a una partenza</w:t>
            </w:r>
          </w:p>
        </w:tc>
        <w:tc>
          <w:tcPr>
            <w:tcW w:type="dxa" w:w="5065"/>
          </w:tcPr>
          <w:p>
            <w:r>
              <w:t>Least privilege e audit</w:t>
            </w:r>
          </w:p>
        </w:tc>
      </w:tr>
      <w:tr>
        <w:tc>
          <w:tcPr>
            <w:tcW w:type="dxa" w:w="5065"/>
          </w:tcPr>
          <w:p>
            <w:r>
              <w:t>Operational control</w:t>
            </w:r>
          </w:p>
        </w:tc>
        <w:tc>
          <w:tcPr>
            <w:tcW w:type="dxa" w:w="5065"/>
          </w:tcPr>
          <w:p>
            <w:r>
              <w:t>Presenze, segnalazioni e operazioni sul campo</w:t>
            </w:r>
          </w:p>
        </w:tc>
        <w:tc>
          <w:tcPr>
            <w:tcW w:type="dxa" w:w="5065"/>
          </w:tcPr>
          <w:p>
            <w:r>
              <w:t>Autorizzazione per departure_id</w:t>
            </w:r>
          </w:p>
        </w:tc>
      </w:tr>
      <w:tr>
        <w:tc>
          <w:tcPr>
            <w:tcW w:type="dxa" w:w="5065"/>
          </w:tcPr>
          <w:p>
            <w:r>
              <w:t>Operational chat</w:t>
            </w:r>
          </w:p>
        </w:tc>
        <w:tc>
          <w:tcPr>
            <w:tcW w:type="dxa" w:w="5065"/>
          </w:tcPr>
          <w:p>
            <w:r>
              <w:t>Canali trip, group e traveler</w:t>
            </w:r>
          </w:p>
        </w:tc>
        <w:tc>
          <w:tcPr>
            <w:tcW w:type="dxa" w:w="5065"/>
          </w:tcPr>
          <w:p>
            <w:r>
              <w:t>Isolamento di tenant, partenza, gruppo e soggetto</w:t>
            </w:r>
          </w:p>
        </w:tc>
      </w:tr>
      <w:tr>
        <w:tc>
          <w:tcPr>
            <w:tcW w:type="dxa" w:w="5065"/>
          </w:tcPr>
          <w:p>
            <w:r>
              <w:t>Privacy retention</w:t>
            </w:r>
          </w:p>
        </w:tc>
        <w:tc>
          <w:tcPr>
            <w:tcW w:type="dxa" w:w="5065"/>
          </w:tcPr>
          <w:p>
            <w:r>
              <w:t>Consenso e cancellazione automatica</w:t>
            </w:r>
          </w:p>
        </w:tc>
        <w:tc>
          <w:tcPr>
            <w:tcW w:type="dxa" w:w="5065"/>
          </w:tcPr>
          <w:p>
            <w:r>
              <w:t>Scadenza a rientro + 30 giorni</w:t>
            </w:r>
          </w:p>
        </w:tc>
      </w:tr>
    </w:tbl>
    <w:p>
      <w:r>
        <w:t>Le API non espongono dati sensibili tramite query dirette: le letture passano da funzioni SECURITY DEFINER con verifica dell'attore e della partenza. Le tabelle applicano RLS e indici con agency_id iniziale.</w:t>
      </w:r>
    </w:p>
    <w:p>
      <w:r>
        <w:br w:type="page"/>
      </w:r>
    </w:p>
    <w:p>
      <w:pPr>
        <w:pStyle w:val="Heading1"/>
        <w:keepNext/>
      </w:pPr>
      <w:r>
        <w:t>Addendum architetturale - versione 1.3</w:t>
      </w:r>
    </w:p>
    <w:p>
      <w:r>
        <w:rPr>
          <w:i/>
          <w:sz w:val="18"/>
        </w:rPr>
        <w:t>Stato consolidato al 3 settembre 2026. Le sezioni precedenti restano valide salvo quanto integrato qui.</w:t>
      </w:r>
    </w:p>
    <w:p>
      <w:pPr>
        <w:pStyle w:val="Heading2"/>
      </w:pPr>
      <w:r>
        <w:t>Tour Leader limitato alla partenza</w:t>
      </w:r>
    </w:p>
    <w:p>
      <w:r>
        <w:t>Il ruolo operativo non coincide con un membro permanente dell'agenzia.</w:t>
      </w:r>
    </w:p>
    <w:p>
      <w:pPr>
        <w:pStyle w:val="ListBullet"/>
      </w:pPr>
      <w:r>
        <w:t>Il responsabile dell'agenzia può invitare un professionista esterno con username univoco, e-mail di attivazione e intervallo valid_from/valid_until.</w:t>
      </w:r>
    </w:p>
    <w:p>
      <w:pPr>
        <w:pStyle w:val="ListBullet"/>
      </w:pPr>
      <w:r>
        <w:t>L'autorizzazione è verificata sulla singola partenza a ogni accesso; la revoca è immediata, motivata e registrata nell'audit.</w:t>
      </w:r>
    </w:p>
    <w:p>
      <w:pPr>
        <w:pStyle w:val="ListBullet"/>
      </w:pPr>
      <w:r>
        <w:t>Dopo il login il Tour Leader accede a un'area dedicata con sole partenze attive e autorizzate, presenze, chat e segnalazioni operative essenziali.</w:t>
      </w:r>
    </w:p>
    <w:p>
      <w:pPr>
        <w:pStyle w:val="ListBullet"/>
      </w:pPr>
      <w:r>
        <w:t>Il flusso usa identificativi IAM UUID nativi; non crea iam.agency_memberships permanenti.</w:t>
      </w:r>
    </w:p>
    <w:p>
      <w:pPr>
        <w:pStyle w:val="Heading2"/>
      </w:pPr>
      <w:r>
        <w:t>Governance Bedrock e costi</w:t>
      </w:r>
    </w:p>
    <w:p>
      <w:r>
        <w:t>La generazione resta asincrona e osservabile.</w:t>
      </w:r>
    </w:p>
    <w:p>
      <w:pPr>
        <w:pStyle w:val="ListBullet"/>
      </w:pPr>
      <w:r>
        <w:t>Le citazioni di contenuti sensibili sono filtrate tramite allowlist di fonti istituzionali; una risposta priva di almeno una fonte attendibile viene rifiutata.</w:t>
      </w:r>
    </w:p>
    <w:p>
      <w:pPr>
        <w:pStyle w:val="ListBullet"/>
      </w:pPr>
      <w:r>
        <w:t>Il test di accettazione Bedrock verifica dal vivo il grounding; il replay deterministico resta nella CI e non consuma token.</w:t>
      </w:r>
    </w:p>
    <w:p>
      <w:pPr>
        <w:pStyle w:val="ListBullet"/>
      </w:pPr>
      <w:r>
        <w:t>ops.ai_model_prices conserva prezzi Nova 2 Lite versionati per modello, regione, validità e fonte ufficiale AWS.</w:t>
      </w:r>
    </w:p>
    <w:p>
      <w:pPr>
        <w:pStyle w:val="ListBullet"/>
      </w:pPr>
      <w:r>
        <w:t>La telemetria AI è associata al job originario e consente riconciliazione di token, latenza, modello e costo stimato.</w:t>
      </w:r>
    </w:p>
    <w:p>
      <w:pPr>
        <w:pStyle w:val="Heading2"/>
      </w:pPr>
      <w:r>
        <w:t>Osservabilità e gestione errori</w:t>
      </w:r>
    </w:p>
    <w:p>
      <w:r>
        <w:t>L'impianto è provider-neutral e non richiede un nuovo servizio a pagamento.</w:t>
      </w:r>
    </w:p>
    <w:p>
      <w:pPr>
        <w:pStyle w:val="ListBullet"/>
      </w:pPr>
      <w:r>
        <w:t>instrumentation.ts intercetta gli errori server catturati da Next.js e produce log JSON strutturati nei Runtime Logs Vercel.</w:t>
      </w:r>
    </w:p>
    <w:p>
      <w:pPr>
        <w:pStyle w:val="ListBullet"/>
      </w:pPr>
      <w:r>
        <w:t>Ogni errore API inatteso riceve un errorId UUID, restituito nel payload e nell'header x-smf-error-id per la correlazione con assistenza e log.</w:t>
      </w:r>
    </w:p>
    <w:p>
      <w:pPr>
        <w:pStyle w:val="ListBullet"/>
      </w:pPr>
      <w:r>
        <w:t>I record includono ambiente, deployment, route e tipo di esecuzione; i valori di contesto sono limitati e gli oggetti non ammessi vengono oscurati.</w:t>
      </w:r>
    </w:p>
    <w:p>
      <w:pPr>
        <w:pStyle w:val="ListBullet"/>
      </w:pPr>
      <w:r>
        <w:t>I worker AWS continuano a esporre log e allarmi CloudWatch; il deployment SAM è verificato con stack UPDATE_COMPLETE.</w:t>
      </w:r>
    </w:p>
    <w:p>
      <w:r>
        <w:br w:type="page"/>
      </w:r>
    </w:p>
    <w:p>
      <w:pPr>
        <w:pStyle w:val="Heading1"/>
      </w:pPr>
      <w:r>
        <w:t>Addendum architetturale del 7 settembre 2026</w:t>
      </w:r>
    </w:p>
    <w:p>
      <w:r>
        <w:t>Questo addendum aggiorna l’architettura as built alle migrazioni 174-197 e al modello operativo con responsabile, agente, accompagnatore, guida e viaggiatore.</w:t>
      </w:r>
    </w:p>
    <w:p>
      <w:pPr>
        <w:pStyle w:val="Heading2"/>
      </w:pPr>
      <w:r>
        <w:t>Identità e autorizzazioni</w:t>
      </w:r>
    </w:p>
    <w:p>
      <w:pPr>
        <w:pStyle w:val="ListBullet"/>
      </w:pPr>
      <w:r>
        <w:t>Responsabile e agente condividono lo stesso perimetro applicativo; la differenza è di governance della nomina.</w:t>
      </w:r>
    </w:p>
    <w:p>
      <w:pPr>
        <w:pStyle w:val="ListBullet"/>
      </w:pPr>
      <w:r>
        <w:t>Il Login come usa identità UUID native e ammette target invitati; responsabile e agente non impersonano superuser, responsabili o agenti.</w:t>
      </w:r>
    </w:p>
    <w:p>
      <w:pPr>
        <w:pStyle w:val="ListBullet"/>
      </w:pPr>
      <w:r>
        <w:t>Accompagnatori e guide sono identità autonome dell’agenzia; l’accesso alla partenza deriva dall’assegnazione e dalla finestra temporale.</w:t>
      </w:r>
    </w:p>
    <w:p>
      <w:pPr>
        <w:pStyle w:val="ListBullet"/>
      </w:pPr>
      <w:r>
        <w:t>Lo staff legge il programma completo e scrive soltanto le giornate assegnate; il vincolo è verificato nel database.</w:t>
      </w:r>
    </w:p>
    <w:p>
      <w:pPr>
        <w:pStyle w:val="Heading2"/>
      </w:pPr>
      <w:r>
        <w:t>Collaborazione e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Garanzia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accompagnatore, guida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R2 privato, metadati Neon, URL firmate e controllo download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 e canali staff selezionati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 idempotenti, autorizzazione per partenza e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audience operative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materializzati, presa visione, sollecito e chiusura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Assicurazione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Risoluzione dell’audience applicabile al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gli assegnati in lettura; giorni assegnati in scrittura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Stored API UUID e controllo giornata</w:t>
            </w:r>
          </w:p>
        </w:tc>
      </w:tr>
    </w:tbl>
    <w:p>
      <w:pPr>
        <w:spacing w:after="40"/>
      </w:pPr>
    </w:p>
    <w:p>
      <w:pPr>
        <w:pStyle w:val="Heading2"/>
      </w:pPr>
      <w:r>
        <w:t>Dati e flussi introdotti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e ruolo operativo dell’agenzia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Associazione tra staff e singole giornate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presenze per partenza e viaggiatore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operative staff con destinatario selezionabile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 allo staff e stato di chiusura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espansa e presa visione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del profilo Paese per singola agenzia</w:t>
            </w:r>
          </w:p>
        </w:tc>
      </w:tr>
    </w:tbl>
    <w:p>
      <w:pPr>
        <w:spacing w:after="40"/>
      </w:pPr>
    </w:p>
    <w:p>
      <w:pPr>
        <w:pStyle w:val="Heading2"/>
      </w:pPr>
      <w:r>
        <w:t>Stato verificato</w:t>
      </w:r>
    </w:p>
    <w:p>
      <w:r>
        <w:t>Schema corrente: 197_v3_suspended_agency_session_boundary. Ultima validazione registrata: 96 tabelle, 70 protette da RLS, zero vincoli non validati, zero indici invalidi e zero tabelle tenant prive di indice leading. Il gate applicativo, i 23 test unitari e il build Next.js 16.3.2 di produzione sono completati.</w:t>
      </w:r>
    </w:p>
    <w:p>
      <w:pPr>
        <w:pStyle w:val="Heading2"/>
      </w:pPr>
      <w:r>
        <w:t>Vincoli operativi e costi</w:t>
      </w:r>
    </w:p>
    <w:p>
      <w:r>
        <w:t>I test Bedrock live non sono pianificati automaticamente. I replay deterministici restano nel controllo qualità gratuito; ogni invocazione live richiede il comando del proprietario e la variabile di conferma. Il WAF perimetrale resta rinviato in assenza di dominio personalizzato e non blocca il collaudo del software.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Addendum architetturale versione 1.6</w:t>
      </w:r>
    </w:p>
    <w:p>
      <w:r>
        <w:rPr>
          <w:i/>
          <w:sz w:val="18"/>
        </w:rPr>
        <w:t>Stato as built allineato alla migrazione 200 e verificato l'8 settembre 2026.</w:t>
      </w:r>
    </w:p>
    <w:p>
      <w:pPr>
        <w:pStyle w:val="Heading2"/>
        <w:keepNext/>
      </w:pPr>
      <w:r>
        <w:rPr>
          <w:color w:val="000000"/>
        </w:rPr>
        <w:t>Rooming list</w:t>
      </w:r>
    </w:p>
    <w:p>
      <w:r>
        <w:t>La rooming list è un sottodominio operativo dei pernottamenti già presenti nel programma.</w:t>
      </w:r>
    </w:p>
    <w:p>
      <w:pPr>
        <w:pStyle w:val="ListBullet"/>
      </w:pPr>
      <w:r>
        <w:t>Responsabile, agente e accompagnatore assegnato operano tramite route Next.js autorizzate e stored API PostgreSQL; la guida è esclusa.</w:t>
      </w:r>
    </w:p>
    <w:p>
      <w:pPr>
        <w:pStyle w:val="ListBullet"/>
      </w:pPr>
      <w:r>
        <w:t>Le camere e gli occupanti sono isolati per agenzia, partenza, pernottamento e gruppo mediante chiavi composte e RLS forzata.</w:t>
      </w:r>
    </w:p>
    <w:p>
      <w:pPr>
        <w:pStyle w:val="ListBullet"/>
      </w:pPr>
      <w:r>
        <w:t>La validazione server segnala viaggiatori non assegnati, capienza ecceduta e minori privi di un adulto dello stesso gruppo.</w:t>
      </w:r>
    </w:p>
    <w:p>
      <w:pPr>
        <w:pStyle w:val="ListBullet"/>
      </w:pPr>
      <w:r>
        <w:t>L'esportazione DOCX è prodotta lato server e contiene nomi, composizione camere ed esigenze operative, senza numeri di documento o dati sanitari.</w:t>
      </w:r>
    </w:p>
    <w:p>
      <w:pPr>
        <w:pStyle w:val="Heading2"/>
        <w:keepNext/>
      </w:pPr>
      <w:r>
        <w:rPr>
          <w:color w:val="000000"/>
        </w:rPr>
        <w:t>Valutazione e passaparola post viaggio</w:t>
      </w:r>
    </w:p>
    <w:p>
      <w:r>
        <w:t>Il flusso è deterministico e non invoca servizi AI.</w:t>
      </w:r>
    </w:p>
    <w:p>
      <w:pPr>
        <w:pStyle w:val="ListBullet"/>
      </w:pPr>
      <w:r>
        <w:t>Due giorni dopo la data di rientro il sistema rende disponibile una valutazione da 0 a 10 con commento facoltativo e pianifica una notifica push idempotente.</w:t>
      </w:r>
    </w:p>
    <w:p>
      <w:pPr>
        <w:pStyle w:val="ListBullet"/>
      </w:pPr>
      <w:r>
        <w:t>I promotori con voto 9 o 10 ricevono le azioni recensione pubblica e segnalazione amico; i detrattori con voto da 0 a 6 vengono indirizzati alla chat privata; i voti 7 e 8 seguono un percorso neutro.</w:t>
      </w:r>
    </w:p>
    <w:p>
      <w:pPr>
        <w:pStyle w:val="ListBullet"/>
      </w:pPr>
      <w:r>
        <w:t>Il codice passaparola è deterministico e riferito all'agenzia, alla partenza e al viaggiatore senza esporre identificativi sensibili.</w:t>
      </w:r>
    </w:p>
    <w:p>
      <w:pPr>
        <w:pStyle w:val="ListBullet"/>
      </w:pPr>
      <w:r>
        <w:t>Analytics aggrega media e commenti per partenza, gruppo e viaggiatore e li correla ai feedback di tappa nel medesimo tenant.</w:t>
      </w:r>
    </w:p>
    <w:p>
      <w:pPr>
        <w:pStyle w:val="Heading2"/>
        <w:keepNext/>
      </w:pPr>
      <w:r>
        <w:rPr>
          <w:color w:val="000000"/>
        </w:rPr>
        <w:t>Inventario e ricostruibilità</w:t>
      </w:r>
    </w:p>
    <w:p>
      <w:r>
        <w:t>Il catalogo non è più validato soltanto tramite un conteggio complessivo.</w:t>
      </w:r>
    </w:p>
    <w:p>
      <w:pPr>
        <w:pStyle w:val="ListBullet"/>
      </w:pPr>
      <w:r>
        <w:t>Il manifesto database/v3-table-inventory.json elenca nominalmente 99 tabelle applicative attese.</w:t>
      </w:r>
    </w:p>
    <w:p>
      <w:pPr>
        <w:pStyle w:val="ListBullet"/>
      </w:pPr>
      <w:r>
        <w:t>La ricostruzione da vuoto aggiunge esclusivamente ops.repository_migrations come registro tecnico dei checksum, portando a 100 il conteggio del branch temporaneo.</w:t>
      </w:r>
    </w:p>
    <w:p>
      <w:pPr>
        <w:pStyle w:val="ListBullet"/>
      </w:pPr>
      <w:r>
        <w:t>Il gate confronta nomi mancanti e inattesi, 73 tabelle RLS, vincoli, indici, indici tenant-leading e riconciliazioni shadow.</w:t>
      </w:r>
    </w:p>
    <w:p>
      <w:pPr>
        <w:pStyle w:val="ListBullet"/>
      </w:pPr>
      <w:r>
        <w:t>La CI ricostruisce tutte le migrazioni 001-200 su un branch Neon effimero e lo elimina al termine.</w:t>
      </w:r>
    </w:p>
    <w:sectPr w:rsidR="00FC693F" w:rsidRPr="0006063C" w:rsidSect="00034616">
      <w:pgSz w:w="12240" w:h="15840" w:orient="landscape"/>
      <w:pgMar w:top="1037" w:right="1037" w:bottom="1008" w:left="1037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v1.6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architetturale versione 1.6</dc:title>
  <dc:subject>Architettura SMF Travel allineata allo schema 200</dc:subject>
  <dc:creator>SMF Travel</dc:creator>
  <cp:keywords>SMF Travel, architettura, Vercel, Neon, AWS, R2, Bedrock, SQS, Lambda</cp:keywords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