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1.3 -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v3.2 integra split e pareggi, minori e consensi, disruption operative, quiz offline governati e localizzazione dinamica. La fondazione fisica e stata installata e collaudata su Neon Production; backfill e cutover del runtime dalle tabelle public restano governati dal piano di convergenza.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gruppo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Gruppi,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gruppo,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Gruppo spese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esplicito al quale piu gruppi aderiscono per condividere quote e pareggi.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Quota di spesa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Importo attribuito a un viaggiatore; le quote riconciliano la spesa alla conferma.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Adulto responsabile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 adulto autorizzato a decidere per un minore nella specifica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Grant quiz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Autorizzazione emessa dal server che abilita il download delle domande dopo lo sblocco.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Disruption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Evento operativo che ritarda, sposta, cancella, sostituisce o ripristina una tappa.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variazioni, gruppi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Evento disruption</w:t>
      </w:r>
    </w:p>
    <w:p>
      <w:pPr>
        <w:pStyle w:val="ListBullet"/>
      </w:pPr>
      <w:r>
        <w:t>Gruppo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ListBullet"/>
      </w:pPr>
      <w:r>
        <w:t>Tutela</w:t>
      </w:r>
    </w:p>
    <w:p>
      <w:pPr>
        <w:pStyle w:val="Heading2"/>
      </w:pPr>
      <w:r>
        <w:t>Esperienza privata</w:t>
      </w:r>
    </w:p>
    <w:p>
      <w:r>
        <w:t>Dati separati o condivisi esplicitamente: denaro, media, risultati e feedback.</w:t>
      </w:r>
    </w:p>
    <w:p>
      <w:pPr>
        <w:pStyle w:val="ListBullet"/>
      </w:pPr>
      <w:r>
        <w:t>Gruppo spese</w:t>
      </w:r>
    </w:p>
    <w:p>
      <w:pPr>
        <w:pStyle w:val="ListBullet"/>
      </w:pPr>
      <w:r>
        <w:t>Spesa</w:t>
      </w:r>
    </w:p>
    <w:p>
      <w:pPr>
        <w:pStyle w:val="ListBullet"/>
      </w:pPr>
      <w:r>
        <w:t>Quota</w:t>
      </w:r>
    </w:p>
    <w:p>
      <w:pPr>
        <w:pStyle w:val="ListBullet"/>
      </w:pPr>
      <w:r>
        <w:t>Pareggio</w:t>
      </w:r>
    </w:p>
    <w:p>
      <w:pPr>
        <w:pStyle w:val="ListBullet"/>
      </w:pPr>
      <w:r>
        <w:t>Consenso</w:t>
      </w:r>
    </w:p>
    <w:p>
      <w:pPr>
        <w:pStyle w:val="ListBullet"/>
      </w:pPr>
      <w:r>
        <w:t>Ricordo</w:t>
      </w:r>
    </w:p>
    <w:p>
      <w:pPr>
        <w:pStyle w:val="ListBullet"/>
      </w:pPr>
      <w:r>
        <w:t>Grant quiz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Cancellazione agenzia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gruppo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 spese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gruppi aderenti possono ricevere quote cross-group.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quote riconciliano importo originale e controvalore base alla transizione allocated.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Adulto responsabile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N:M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tutela e contestuale alla partenza e limitata temporalmente.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decisione conserva soggetto, decisore, policy, ambito e precedente superato.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Evento disruption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tappa resta presente; ogni variazione operativa e ricostruibile.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gruppo;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Quiz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Grant accesso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 attivo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server autorizza il download dopo lo sblocco o override tracciato.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gruppo di viaggio.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 gruppo puo scrivere fatti per quel gruppo.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10 domande coerenti con citta e siti del giorno; lo sblocco standard e alle 20:00 locali.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due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asincrona e a fasi: freeze, revoca accessi, oggetti, facts, partenze, template, membership e chiusura; la FK radice e RESTRICT.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Ripartizione spese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spesa non aggregata diventa allocated solo se quote originali e base riconciliano esattamente; lo split cross-group richiede adesione attiva al gruppo spese.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capacita e valutata alla data di partenza; un minore dipendente richiede un adulto responsabile attivo per esprimere il consenso.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Consensi 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decisioni sono append-only e versionate; un minore non puo essere associato a un media senza consenso immagini corrente.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Disruption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Ritardi, cancellazioni e riprogrammazioni passano da un comando atomico e conservano stato originale, motivazione ed evento append-only.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 offline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payload delle domande e disponibile solo con grant server-side calcolato nel fuso della partenza; answer_spec non viene esposto al client.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Localizzazione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locale effettivo segue il fallback viaggiatore-gruppo-partenza-template; traduzioni e contenuto sorgente restano entita distinte.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Gruppo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gruppo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 e adesione gruppi spesa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Minori e consensi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Policy, prova, revoca, tutela e ambito media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Spesa.quote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riconciliazione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Somme originali/base esatte; differenza equal al massimo 1 minor unit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gruppo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minore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Validita, prova, 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Tutore attivo, policy version, decisione append-only e revoca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Quiz.access_grant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Sicurezza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Autenticita, temporalita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server/fuso partenza, token hash, payload senza answer key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gruppo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gruppo.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gruppo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gruppo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Condiviso tra gruppi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Quote e pareggi nel gruppo spese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Adesione esplicita + membership + audit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I consensi sono eventi append-only con policy version e decisione sostitutiva; la qualificazione giuridica finale resta da ratificare con DPO/legale.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Maggiore eta e tutela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18 anni alla data di partenza; eccezioni solo per policy locale ratificata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lingua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Viaggiatore &gt; gruppo &gt; partenza &gt; template &gt; agenzia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Product/Content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Recepimento dei rilievi architetturali e funzionali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00"/>
        <w:gridCol w:w="3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Rilievo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 di modello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 verificabile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RLS e scope key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agency_id resta ridondanza controllata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Ogni tabella con policy tenant ha un indice con agency_id leading; audit catalogo in CI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Publish gate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Transizione atomica governata dal DB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Stored procedure SECURITY DEFINER, advisory lock per versione e trigger anti-race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Outbox e scale-to-zero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Coda operativa con lease durevole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Claim transazionale FOR UPDATE SKIP LOCKED da worker su connessione pooled dedicata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Delete cascade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Nessuna cascata dalla radice agenzia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verso iam.agencies in RESTRICT e job asincrono a fasi secondo BR-019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Split spese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Quote tipizzate e gruppi cross-group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Gate differibile riconcilia original/base; pareggi append-only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Minori e media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Capacita, tutela, consenso e soggetti media separati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Consenso corrente obbligatorio prima del tag di un minore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Disruption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Stato corrente + evento append-only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Comando SECURITY DEFINER atomico; update operativo diretto bloccato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Quiz offline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Grant server-side e payload pubblico senza answer key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Orario calcolato nel fuso partenza; override autorizzato e tracciato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Multilingua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Traduzioni separate dal contenuto sorgente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Fallback per viaggiatore e stato approved/stale verificabile</w:t>
            </w:r>
          </w:p>
        </w:tc>
      </w:tr>
    </w:tbl>
    <w:p>
      <w:pPr>
        <w:spacing w:after="0"/>
      </w:pPr>
    </w:p>
    <w:p>
      <w:pPr>
        <w:pStyle w:val="Heading1"/>
      </w:pPr>
      <w:r>
        <w:t>14.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gruppo,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ListBullet"/>
      </w:pPr>
      <w:r>
        <w:t>Quote finanziarie, consensi, grant e disruption hanno invarianti transazionali e storia verificabile.</w:t>
      </w:r>
    </w:p>
    <w:p>
      <w:pPr>
        <w:pStyle w:val="ListBullet"/>
      </w:pPr>
      <w:r>
        <w:t>Le traduzioni non duplicano chiavi, punteggi, answer key o identita del contenuto sorgente.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SELECT locking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FOR UPDATE SKIP LOCKED per claim concorrenti di code.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https://www.postgresql.org/docs/18/sql-select.html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Scale to Zero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Sospensione per inattivita e riattivazione del compute alla connessione.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https://neon.com/docs/introduction/scale-to-zero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Estensione del modello concettuale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944"/>
            <w:vAlign w:val="center"/>
          </w:tcPr>
          <w:p>
            <w:r>
              <w:rPr>
                <w:b/>
                <w:sz w:val="18"/>
              </w:rPr>
              <w:t>Entita</w:t>
            </w:r>
          </w:p>
        </w:tc>
        <w:tc>
          <w:tcPr>
            <w:tcW w:type="dxa" w:w="3960"/>
            <w:vAlign w:val="center"/>
          </w:tcPr>
          <w:p>
            <w:r>
              <w:rPr>
                <w:b/>
                <w:sz w:val="18"/>
              </w:rPr>
              <w:t>Scopo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  <w:sz w:val="18"/>
              </w:rPr>
              <w:t>Relazioni principali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Evento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Fatto atomico prodotto dall'utilizzo dell'app viaggiatore.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Agenzia, Utente, Viaggiatore, Partenza, Gruppo, Giornata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Sessione Analytics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Contesto client temporaneo usato per deduplicare consultazioni equivalenti.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Utente e insieme di Eventi Analytics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Indicatore Agenzia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Vista aggregata calcolata, non persistita come dato master.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Periodo, Agenzia e facoltativamente Partenza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Tappa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Valutazione gia presente, aggregata per giornata e attivita effettiva.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Partenza, Giornata, Tappa, Viaggiatore</w:t>
            </w:r>
          </w:p>
        </w:tc>
      </w:tr>
    </w:tbl>
    <w:p/>
    <w:p>
      <w:pPr>
        <w:pStyle w:val="Heading2"/>
        <w:keepNext/>
      </w:pPr>
      <w:r>
        <w:t>Semantica degli indicatori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520"/>
            <w:vAlign w:val="center"/>
          </w:tcPr>
          <w:p>
            <w:r>
              <w:rPr>
                <w:b/>
                <w:sz w:val="18"/>
              </w:rPr>
              <w:t>Indicatore</w:t>
            </w:r>
          </w:p>
        </w:tc>
        <w:tc>
          <w:tcPr>
            <w:tcW w:type="dxa" w:w="6840"/>
            <w:vAlign w:val="center"/>
          </w:tcPr>
          <w:p>
            <w:r>
              <w:rPr>
                <w:b/>
                <w:sz w:val="18"/>
              </w:rPr>
              <w:t>Definizione funzionale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Invitati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associati a una partenza nel perimetro selezionato.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Attivati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con identita digitale attiva.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Attivi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evento Analytics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Consultazioni programma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Eventi programme_view validi e deduplicati.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Uso documenti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Viaggiatori distinti con almeno un document_download.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Messaggi inviati dai viaggiatori nella chat operativa.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Tentativi quiz e sfide, oltre alle partecipazioni ai contest, completati nel periodo.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 per tappa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Media, numerosita e ordinamento delle valutazioni per attivita effettiva.</w:t>
            </w:r>
          </w:p>
        </w:tc>
      </w:tr>
    </w:tbl>
    <w:p/>
    <w:p>
      <w:pPr>
        <w:pStyle w:val="Heading2"/>
        <w:keepNext/>
      </w:pPr>
      <w:r>
        <w:t>Regole di business</w:t>
      </w:r>
    </w:p>
    <w:p>
      <w:pPr>
        <w:pStyle w:val="ListBullet"/>
      </w:pPr>
      <w:r>
        <w:t>Ogni evento appartiene a una sola agenzia, partenza e gruppo.</w:t>
      </w:r>
    </w:p>
    <w:p>
      <w:pPr>
        <w:pStyle w:val="ListBullet"/>
      </w:pPr>
      <w:r>
        <w:t>La giornata e opzionale per gli eventi generali e obbligatoriamente coerente con la partenza quando valorizzata.</w:t>
      </w:r>
    </w:p>
    <w:p>
      <w:pPr>
        <w:pStyle w:val="ListBullet"/>
      </w:pPr>
      <w:r>
        <w:t>La selezione di una partenza restringe tutti gli indicatori della pagina.</w:t>
      </w:r>
    </w:p>
    <w:p>
      <w:pPr>
        <w:pStyle w:val="ListBullet"/>
      </w:pPr>
      <w:r>
        <w:t>Le metriche storiche di consultazione decorrono dall'attivazione del tracking; feedback, chat ed engagement usano anche dati applicativi gia esistenti.</w:t>
      </w:r>
    </w:p>
    <w:p>
      <w:r>
        <w:br w:type="page"/>
      </w:r>
    </w:p>
    <w:p>
      <w:pPr>
        <w:pStyle w:val="Heading1"/>
      </w:pPr>
      <w:r>
        <w:t>Addendum 2026-08-30 - Governance KPI, variazioni, contenuti e onboarding</w:t>
      </w:r>
    </w:p>
    <w:p>
      <w:pPr>
        <w:pStyle w:val="Heading2"/>
      </w:pPr>
      <w:r>
        <w:t>Nuove entità logiche</w:t>
      </w:r>
    </w:p>
    <w:p>
      <w:pPr>
        <w:pStyle w:val="ListBullet"/>
      </w:pPr>
      <w:r>
        <w:t>Definizione KPI: identificata da codice e versione; descrive formula, numeratore, denominatore, eventi sorgente, frequenza ed efficacia temporale.</w:t>
      </w:r>
    </w:p>
    <w:p>
      <w:pPr>
        <w:pStyle w:val="ListBullet"/>
      </w:pPr>
      <w:r>
        <w:t>Comunicazione di variazione: appartiene a una agenzia e a una partenza; può riferirsi a una giornata o tappa e conserva precedente, corrente, autore, severità e data di pubblicazione.</w:t>
      </w:r>
    </w:p>
    <w:p>
      <w:pPr>
        <w:pStyle w:val="ListBullet"/>
      </w:pPr>
      <w:r>
        <w:t>Presa visione: associa una comunicazione a un viaggiatore; è unica per coppia comunicazione-viaggiatore e idempotente per operazione client.</w:t>
      </w:r>
    </w:p>
    <w:p>
      <w:pPr>
        <w:pStyle w:val="ListBullet"/>
      </w:pPr>
      <w:r>
        <w:t>Governance informazione utile: estende il contenuto con fonte, URL, acquisizione, verifica, scadenza, stato di revisione, revisore e disclaimer.</w:t>
      </w:r>
    </w:p>
    <w:p>
      <w:pPr>
        <w:pStyle w:val="ListBullet"/>
      </w:pPr>
      <w:r>
        <w:t>Invito personale: resta associato a un solo utente e username; più inviti possono condividere la stessa email senza dipendenze reciproche.</w:t>
      </w:r>
    </w:p>
    <w:p>
      <w:pPr>
        <w:pStyle w:val="Heading2"/>
      </w:pPr>
      <w:r>
        <w:t>Relazioni e cardinalità</w:t>
      </w:r>
    </w:p>
    <w:p>
      <w:pPr>
        <w:pStyle w:val="ListBullet"/>
      </w:pPr>
      <w:r>
        <w:t>Agenzia 1:N Comunicazioni; Partenza 1:N Comunicazioni; Giornata 0..1:N Comunicazioni; Tappa 0..1:N Comunicazioni.</w:t>
      </w:r>
    </w:p>
    <w:p>
      <w:pPr>
        <w:pStyle w:val="ListBullet"/>
      </w:pPr>
      <w:r>
        <w:t>Comunicazione N:M Viaggiatore tramite Presa visione; l'accesso è ammesso solo se esiste una membership attiva nella partenza.</w:t>
      </w:r>
    </w:p>
    <w:p>
      <w:pPr>
        <w:pStyle w:val="ListBullet"/>
      </w:pPr>
      <w:r>
        <w:t>Versione programma 1:N Informazioni utili; ciascuna informazione possiede esattamente uno stato di revisione corrente.</w:t>
      </w:r>
    </w:p>
    <w:p>
      <w:pPr>
        <w:pStyle w:val="ListBullet"/>
      </w:pPr>
      <w:r>
        <w:t>Definizione KPI 1:N versioni temporali, con una sola versione efficace per codice in un istante logico.</w:t>
      </w:r>
    </w:p>
    <w:p>
      <w:pPr>
        <w:pStyle w:val="ListBullet"/>
      </w:pPr>
      <w:r>
        <w:t>Utente 1:N Inviti storici, ma ogni token attivo è personale, monouso e riferito a un solo utente.</w:t>
      </w:r>
    </w:p>
    <w:p>
      <w:pPr>
        <w:pStyle w:val="Heading2"/>
      </w:pPr>
      <w:r>
        <w:t>Regole di business aggiunte</w:t>
      </w:r>
    </w:p>
    <w:p>
      <w:pPr>
        <w:pStyle w:val="ListBullet"/>
      </w:pPr>
      <w:r>
        <w:t>BR-ANA-01: adozione = viaggiatori con sessione significativa / viaggiatori abilitati, non / account attivati.</w:t>
      </w:r>
    </w:p>
    <w:p>
      <w:pPr>
        <w:pStyle w:val="ListBullet"/>
      </w:pPr>
      <w:r>
        <w:t>BR-ANA-02: refresh tecnici, impersonificazioni e membership rimosse non concorrono ai KPI commerciali.</w:t>
      </w:r>
    </w:p>
    <w:p>
      <w:pPr>
        <w:pStyle w:val="ListBullet"/>
      </w:pPr>
      <w:r>
        <w:t>BR-CHG-01: ogni modifica pubblicata al programma genera una comunicazione leggibile; l'audit tecnico non la sostituisce.</w:t>
      </w:r>
    </w:p>
    <w:p>
      <w:pPr>
        <w:pStyle w:val="ListBullet"/>
      </w:pPr>
      <w:r>
        <w:t>BR-CNT-01: salute, sicurezza, documenti, emergenze e ambasciata scadono dopo 7 giorni salvo regola più restrittiva; contenuti non sensibili dopo 90 giorni.</w:t>
      </w:r>
    </w:p>
    <w:p>
      <w:pPr>
        <w:pStyle w:val="ListBullet"/>
      </w:pPr>
      <w:r>
        <w:t>BR-CNT-02: la generazione AI produce needs_review; solo un revisore autorizzato può impostare approved.</w:t>
      </w:r>
    </w:p>
    <w:p>
      <w:pPr>
        <w:pStyle w:val="ListBullet"/>
      </w:pPr>
      <w:r>
        <w:t>BR-IAM-01: l'email è un recapito, lo username è l'identificatore di accesso; il consumo di un invito non invalida quelli associati ad altri utenti.</w:t>
      </w:r>
    </w:p>
    <w:p>
      <w:r>
        <w:br w:type="page"/>
      </w:r>
    </w:p>
    <w:p>
      <w:pPr>
        <w:pStyle w:val="Heading1"/>
        <w:keepNext/>
        <w:spacing w:before="0" w:after="40"/>
      </w:pPr>
      <w:r>
        <w:t>Addendum logico 2026-09-02 - profili Paese e qualita AI</w:t>
      </w:r>
    </w:p>
    <w:p>
      <w:pPr>
        <w:spacing w:before="0" w:after="40"/>
      </w:pPr>
      <w:r>
        <w:rPr>
          <w:b/>
          <w:color w:val="0A6F6C"/>
          <w:sz w:val="17"/>
        </w:rPr>
        <w:t>Aggiornamento as-built: 2 settembre 2026</w:t>
      </w:r>
    </w:p>
    <w:p>
      <w:pPr>
        <w:pStyle w:val="Heading2"/>
        <w:keepNext/>
        <w:spacing w:before="0" w:after="40"/>
      </w:pPr>
      <w:r>
        <w:t>Nuove entita e significati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Entita logica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Significato</w:t>
            </w:r>
          </w:p>
        </w:tc>
        <w:tc>
          <w:tcPr>
            <w:tcW w:type="dxa" w:w="3120"/>
            <w:shd w:fill="D9EDE9"/>
          </w:tcPr>
          <w:p>
            <w:pPr>
              <w:spacing w:before="0" w:after="0"/>
            </w:pPr>
            <w:r>
              <w:rPr>
                <w:b/>
                <w:color w:val="0F413E"/>
                <w:sz w:val="17"/>
              </w:rPr>
              <w:t>Ownership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Profilo Paese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Versione strutturata delle informazioni sensibili con fonte, validita e disclaimer.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Stewardship piattaforma; consumo tenant.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Revisione profilo Paese per agenzia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Decisione approvato/respinto riferita a una specifica versione.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Responsabile dell'agenzia.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Evidenza di estrazione preventivo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Collegamento tra campo strutturato e porzione del documento di origine.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Agenzia proprietaria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Descrizione semantica fotografica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Criteri privati usati dall'AI per riconoscere soggetto, luogo o tema.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Template/versione del viaggio.</w:t>
            </w:r>
          </w:p>
        </w:tc>
      </w:tr>
      <w:tr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Giudizio fotografico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Esito, punteggi di categoria, motivazione e timestamp.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>
              <w:rPr>
                <w:sz w:val="17"/>
              </w:rPr>
              <w:t>Viaggiatore e ambito gruppo/viaggio.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0" w:after="40"/>
      </w:pPr>
      <w:r>
        <w:t>Relazioni e cardinalita</w:t>
      </w:r>
    </w:p>
    <w:p>
      <w:pPr>
        <w:pStyle w:val="ListBullet"/>
        <w:spacing w:before="0" w:after="40"/>
      </w:pPr>
      <w:r>
        <w:rPr>
          <w:sz w:val="17"/>
        </w:rPr>
        <w:t>Agenzia 1:N Revisione profilo Paese; Paese 1:N Versione profilo; Versione profilo 1:N Revisioni di agenzia.</w:t>
      </w:r>
    </w:p>
    <w:p>
      <w:pPr>
        <w:pStyle w:val="ListBullet"/>
        <w:spacing w:before="0" w:after="40"/>
      </w:pPr>
      <w:r>
        <w:rPr>
          <w:sz w:val="17"/>
        </w:rPr>
        <w:t>La chiave naturale della decisione e (agenzia, Paese, versione). Per la stessa combinazione esiste al massimo una decisione corrente.</w:t>
      </w:r>
    </w:p>
    <w:p>
      <w:pPr>
        <w:pStyle w:val="ListBullet"/>
        <w:spacing w:before="0" w:after="40"/>
      </w:pPr>
      <w:r>
        <w:rPr>
          <w:sz w:val="17"/>
        </w:rPr>
        <w:t>Un template di viaggio usa uno o piu Paesi; soltanto questi possono comparire nella coda di revisione dell'agenzia.</w:t>
      </w:r>
    </w:p>
    <w:p>
      <w:pPr>
        <w:pStyle w:val="ListBullet"/>
        <w:spacing w:before="0" w:after="40"/>
      </w:pPr>
      <w:r>
        <w:rPr>
          <w:sz w:val="17"/>
        </w:rPr>
        <w:t>Un obiettivo fotografico appartiene a una missione, casella bingo o contest; ogni tentativo produce al massimo un giudizio AI persistito.</w:t>
      </w:r>
    </w:p>
    <w:p>
      <w:pPr>
        <w:pStyle w:val="Heading2"/>
        <w:keepNext/>
        <w:spacing w:before="0" w:after="40"/>
      </w:pPr>
      <w:r>
        <w:t>Regole di business aggiunte</w:t>
      </w:r>
    </w:p>
    <w:p>
      <w:pPr>
        <w:pStyle w:val="ListBullet"/>
        <w:spacing w:before="0" w:after="40"/>
      </w:pPr>
      <w:r>
        <w:rPr>
          <w:sz w:val="17"/>
        </w:rPr>
        <w:t>Il superuser non e data steward dei contenuti sensibili per conto dell'agenzia e non puo approvare una versione.</w:t>
      </w:r>
    </w:p>
    <w:p>
      <w:pPr>
        <w:pStyle w:val="ListBullet"/>
        <w:spacing w:before="0" w:after="40"/>
      </w:pPr>
      <w:r>
        <w:rPr>
          <w:sz w:val="17"/>
        </w:rPr>
        <w:t>L'approvazione di una versione non si propaga tra agenzie e non sopravvive a una nuova versione del profilo.</w:t>
      </w:r>
    </w:p>
    <w:p>
      <w:pPr>
        <w:pStyle w:val="ListBullet"/>
        <w:spacing w:before="0" w:after="40"/>
      </w:pPr>
      <w:r>
        <w:rPr>
          <w:sz w:val="17"/>
        </w:rPr>
        <w:t>La pubblicazione richiede un profilo approvato nel medesimo tenant; il retry deve essere idempotente.</w:t>
      </w:r>
    </w:p>
    <w:p>
      <w:pPr>
        <w:pStyle w:val="ListBullet"/>
        <w:spacing w:before="0" w:after="40"/>
      </w:pPr>
      <w:r>
        <w:rPr>
          <w:sz w:val="17"/>
        </w:rPr>
        <w:t>Le descrizioni semantiche AI sono dati interni e non sono mostrate al viaggiatore.</w:t>
      </w:r>
      <w:r>
        <w:rPr>
          <w:sz w:val="17"/>
        </w:rPr>
        <w:t xml:space="preserve"> Le foto fuori tema non possono diventare candidate o vincitrici; a parita prevale il timestamp piu antico.</w:t>
      </w:r>
    </w:p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Entità e relazioni aggiunte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Entità</w:t>
            </w:r>
          </w:p>
        </w:tc>
        <w:tc>
          <w:tcPr>
            <w:tcW w:type="dxa" w:w="3120"/>
          </w:tcPr>
          <w:p>
            <w:r>
              <w:t>Relazioni principali</w:t>
            </w:r>
          </w:p>
        </w:tc>
        <w:tc>
          <w:tcPr>
            <w:tcW w:type="dxa" w:w="3120"/>
          </w:tcPr>
          <w:p>
            <w:r>
              <w:t>Regole</w:t>
            </w:r>
          </w:p>
        </w:tc>
      </w:tr>
      <w:tr>
        <w:tc>
          <w:tcPr>
            <w:tcW w:type="dxa" w:w="3120"/>
          </w:tcPr>
          <w:p>
            <w:r>
              <w:t>DepartureStaffAssignment</w:t>
            </w:r>
          </w:p>
        </w:tc>
        <w:tc>
          <w:tcPr>
            <w:tcW w:type="dxa" w:w="3120"/>
          </w:tcPr>
          <w:p>
            <w:r>
              <w:t>Agency, Departure, User</w:t>
            </w:r>
          </w:p>
        </w:tc>
        <w:tc>
          <w:tcPr>
            <w:tcW w:type="dxa" w:w="3120"/>
          </w:tcPr>
          <w:p>
            <w:r>
              <w:t>Ruolo tour_leader; assegnazione revocabile</w:t>
            </w:r>
          </w:p>
        </w:tc>
      </w:tr>
      <w:tr>
        <w:tc>
          <w:tcPr>
            <w:tcW w:type="dxa" w:w="3120"/>
          </w:tcPr>
          <w:p>
            <w:r>
              <w:t>DepartureAttendance</w:t>
            </w:r>
          </w:p>
        </w:tc>
        <w:tc>
          <w:tcPr>
            <w:tcW w:type="dxa" w:w="3120"/>
          </w:tcPr>
          <w:p>
            <w:r>
              <w:t>DepartureDay, Party, Traveler, User</w:t>
            </w:r>
          </w:p>
        </w:tc>
        <w:tc>
          <w:tcPr>
            <w:tcW w:type="dxa" w:w="3120"/>
          </w:tcPr>
          <w:p>
            <w:r>
              <w:t>Un esito per viaggiatore e giornata</w:t>
            </w:r>
          </w:p>
        </w:tc>
      </w:tr>
      <w:tr>
        <w:tc>
          <w:tcPr>
            <w:tcW w:type="dxa" w:w="3120"/>
          </w:tcPr>
          <w:p>
            <w:r>
              <w:t>TravelerOperationalAlert</w:t>
            </w:r>
          </w:p>
        </w:tc>
        <w:tc>
          <w:tcPr>
            <w:tcW w:type="dxa" w:w="3120"/>
          </w:tcPr>
          <w:p>
            <w:r>
              <w:t>Traveler, Party, Departure, Consent</w:t>
            </w:r>
          </w:p>
        </w:tc>
        <w:tc>
          <w:tcPr>
            <w:tcW w:type="dxa" w:w="3120"/>
          </w:tcPr>
          <w:p>
            <w:r>
              <w:t>Solo contenuto essenziale; retention 30 giorni</w:t>
            </w:r>
          </w:p>
        </w:tc>
      </w:tr>
      <w:tr>
        <w:tc>
          <w:tcPr>
            <w:tcW w:type="dxa" w:w="3120"/>
          </w:tcPr>
          <w:p>
            <w:r>
              <w:t>OperationalMessage</w:t>
            </w:r>
          </w:p>
        </w:tc>
        <w:tc>
          <w:tcPr>
            <w:tcW w:type="dxa" w:w="3120"/>
          </w:tcPr>
          <w:p>
            <w:r>
              <w:t>Departure e scope opzionale Party/Traveler</w:t>
            </w:r>
          </w:p>
        </w:tc>
        <w:tc>
          <w:tcPr>
            <w:tcW w:type="dxa" w:w="3120"/>
          </w:tcPr>
          <w:p>
            <w:r>
              <w:t>Ambiti trip, group, traveler mutuamente esclusivi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Estensione del modello logico - versione 1.5</w:t>
      </w:r>
    </w:p>
    <w:p>
      <w:r>
        <w:rPr>
          <w:i/>
          <w:sz w:val="18"/>
        </w:rPr>
        <w:t>Entità e vincoli logici introdotti o consolidati al 3 settembre 2026.</w:t>
      </w:r>
    </w:p>
    <w:p>
      <w:pPr>
        <w:pStyle w:val="Heading2"/>
      </w:pPr>
      <w:r>
        <w:t>Assegnazione temporanea del Tour Leader</w:t>
      </w:r>
    </w:p>
    <w:p>
      <w:r>
        <w:t>Relazione tra utente, agenzia e partenza priva di membership permanente.</w:t>
      </w:r>
    </w:p>
    <w:p>
      <w:pPr>
        <w:pStyle w:val="ListBullet"/>
      </w:pPr>
      <w:r>
        <w:t>DepartureStaffAssignment identifica utente, partenza, ruolo tour_leader, stato, autore e intervallo temporale di efficacia.</w:t>
      </w:r>
    </w:p>
    <w:p>
      <w:pPr>
        <w:pStyle w:val="ListBullet"/>
      </w:pPr>
      <w:r>
        <w:t>Una persona può essere invitata e attivata come identità IAM senza appartenere stabilmente all'organico dell'agenzia.</w:t>
      </w:r>
    </w:p>
    <w:p>
      <w:pPr>
        <w:pStyle w:val="ListBullet"/>
      </w:pPr>
      <w:r>
        <w:t>La validità richiede valid_until maggiore di valid_from; la revoca conserva autore, istante e motivazione.</w:t>
      </w:r>
    </w:p>
    <w:p>
      <w:pPr>
        <w:pStyle w:val="ListBullet"/>
      </w:pPr>
      <w:r>
        <w:t>L'accesso operativo è valido soltanto quando lo stato è active e l'istante corrente ricade nell'intervallo autorizzato.</w:t>
      </w:r>
    </w:p>
    <w:p>
      <w:pPr>
        <w:pStyle w:val="Heading2"/>
      </w:pPr>
      <w:r>
        <w:t>Osservabilità delle elaborazioni AI</w:t>
      </w:r>
    </w:p>
    <w:p>
      <w:r>
        <w:t>Il costo è derivato da utilizzo misurato e tariffa temporalmente valida.</w:t>
      </w:r>
    </w:p>
    <w:p>
      <w:pPr>
        <w:pStyle w:val="ListBullet"/>
      </w:pPr>
      <w:r>
        <w:t>AiModelPrice identifica modello, regione, unità di prezzo per milione di token, fonte e periodo di efficacia.</w:t>
      </w:r>
    </w:p>
    <w:p>
      <w:pPr>
        <w:pStyle w:val="ListBullet"/>
      </w:pPr>
      <w:r>
        <w:t>AiInvocationTelemetry collega job, operazione, modello, regione, token input/output, latenza, risultato e costo stimato.</w:t>
      </w:r>
    </w:p>
    <w:p>
      <w:pPr>
        <w:pStyle w:val="ListBullet"/>
      </w:pPr>
      <w:r>
        <w:t>Le citazioni ufficiali appartengono al dossier generato e sono sottoposte a policy prima della persistenza applicativa.</w:t>
      </w:r>
    </w:p>
    <w:p>
      <w:pPr>
        <w:pStyle w:val="Heading2"/>
      </w:pPr>
      <w:r>
        <w:t>Correlazione degli errori</w:t>
      </w:r>
    </w:p>
    <w:p>
      <w:r>
        <w:t>L'errorId non è un'entità di dominio persistente obbligatoria.</w:t>
      </w:r>
    </w:p>
    <w:p>
      <w:pPr>
        <w:pStyle w:val="ListBullet"/>
      </w:pPr>
      <w:r>
        <w:t>L'identificatore di errore viene prodotto dal runtime e correlato ai log di deployment, evitando la duplicazione di stack trace nel database transazionale.</w:t>
      </w:r>
    </w:p>
    <w:p>
      <w:pPr>
        <w:pStyle w:val="ListBullet"/>
      </w:pPr>
      <w:r>
        <w:t>I dati di contesto sono minimizzati: nessuna credenziale, payload documentale o dato sanitario viene incluso automaticamente.</w:t>
      </w:r>
    </w:p>
    <w:p>
      <w:r>
        <w:br w:type="page"/>
      </w:r>
    </w:p>
    <w:p>
      <w:pPr>
        <w:pStyle w:val="Heading1"/>
      </w:pPr>
      <w:r>
        <w:t>Estensione logica personale operativo e collaborazione</w:t>
      </w:r>
    </w:p>
    <w:p>
      <w:r>
        <w:t>La versione 1.6 integra il modello dei ruoli operativi, delle assegnazioni per giornata e delle audience introdotte dopo la versione 1.5.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Entità</w:t>
            </w:r>
          </w:p>
        </w:tc>
        <w:tc>
          <w:tcPr>
            <w:tcW w:type="dxa" w:w="35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Identificatore e relazioni</w:t>
            </w:r>
          </w:p>
        </w:tc>
        <w:tc>
          <w:tcPr>
            <w:tcW w:type="dxa" w:w="367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Regole logiche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personale agenzia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Utente e agenzia; ruolo agente, accompagnatore o guida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Profilo attivo solo con identità, membership e account validi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partenza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utente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Abilita il viaggio; può avere scadenza di collaudo esplicita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personale giornata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Assegnazione partenza e giornata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La giornata deve appartenere alla stessa partenza; autorizza la scrittura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Presenza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 e viaggiatore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Un solo stato corrente per coppia; autore e timestamp tracciati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Messaggio operativo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ruolo e destinatario opzionale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Canale derivato da ruolo e destinatario; la guida non apre canali con viaggiatori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staff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autore, audience e contenuto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Titolo, severità, richiesta lettura, chiusura e idempotenza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Destinatario comunicazione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Comunicazione e utente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Stato di consegna e presa visione per ogni persona</w:t>
            </w:r>
          </w:p>
        </w:tc>
      </w:tr>
      <w:tr>
        <w:tc>
          <w:tcPr>
            <w:tcW w:type="dxa" w:w="2520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Documento di viaggio</w:t>
            </w:r>
          </w:p>
        </w:tc>
        <w:tc>
          <w:tcPr>
            <w:tcW w:type="dxa" w:w="3528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Partenza, giornata opzionale, audience e oggetto storage</w:t>
            </w:r>
          </w:p>
        </w:tc>
        <w:tc>
          <w:tcPr>
            <w:tcW w:type="dxa" w:w="3671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Audience viaggio, gruppo, viaggiatore o staff selezionato</w:t>
            </w:r>
          </w:p>
        </w:tc>
      </w:tr>
      <w:tr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Revisione profilo Paese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Paese e agenzia</w:t>
            </w:r>
          </w:p>
        </w:tc>
        <w:tc>
          <w:tcPr>
            <w:tcW w:type="dxa" w:w="36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Override isolato per tenant, revisore e data; non modifica la baseline</w:t>
            </w:r>
          </w:p>
        </w:tc>
      </w:tr>
    </w:tbl>
    <w:p>
      <w:pPr>
        <w:spacing w:after="40"/>
      </w:pPr>
    </w:p>
    <w:p>
      <w:pPr>
        <w:pStyle w:val="Heading2"/>
      </w:pPr>
      <w:r>
        <w:t>Cardinalità principali</w:t>
      </w:r>
    </w:p>
    <w:p>
      <w:pPr>
        <w:pStyle w:val="ListBullet"/>
      </w:pPr>
      <w:r>
        <w:t>Una persona dello staff può essere assegnata a molte partenze; una partenza può avere molte persone dello staff.</w:t>
      </w:r>
    </w:p>
    <w:p>
      <w:pPr>
        <w:pStyle w:val="ListBullet"/>
      </w:pPr>
      <w:r>
        <w:t>Un’assegnazione di partenza può comprendere molte giornate; ogni associazione giornata-persona è univoca.</w:t>
      </w:r>
    </w:p>
    <w:p>
      <w:pPr>
        <w:pStyle w:val="ListBullet"/>
      </w:pPr>
      <w:r>
        <w:t>Una comunicazione può espandersi in molti destinatari; ogni destinatario conserva il proprio stato di lettura.</w:t>
      </w:r>
    </w:p>
    <w:p>
      <w:pPr>
        <w:pStyle w:val="ListBullet"/>
      </w:pPr>
      <w:r>
        <w:t>Un documento può avere una sola regola di audience e, per destinatari selezionati, un insieme di UUID staff.</w:t>
      </w:r>
    </w:p>
    <w:p>
      <w:pPr>
        <w:pStyle w:val="ListBullet"/>
      </w:pPr>
      <w:r>
        <w:t>Una baseline Paese può avere una revisione distinta per ogni agenzia.</w:t>
      </w:r>
    </w:p>
    <w:p>
      <w:pPr>
        <w:pStyle w:val="Heading2"/>
      </w:pPr>
      <w:r>
        <w:t>Invarianti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Invariante</w:t>
            </w:r>
          </w:p>
        </w:tc>
        <w:tc>
          <w:tcPr>
            <w:tcW w:type="dxa" w:w="66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Controllo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Tenant coerente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Tutte le entità operative condividono agency_id derivato dalla partenza o dal profilo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Scrittura giornata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Consentita a responsabile/agente oppure a staff assegnato alla specifica giornata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Visibilità staff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Richiede profilo, membership e account attivi; i profili revocati non sono elencati</w:t>
            </w:r>
          </w:p>
        </w:tc>
      </w:tr>
      <w:tr>
        <w:tc>
          <w:tcPr>
            <w:tcW w:type="dxa" w:w="3024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Temporalità</w:t>
            </w:r>
          </w:p>
        </w:tc>
        <w:tc>
          <w:tcPr>
            <w:tcW w:type="dxa" w:w="6623"/>
            <w:shd w:fill="F5F7FA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Viaggi futuri e in corso visibili; passato solo entro test_access_until esplicito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Privacy</w:t>
            </w:r>
          </w:p>
        </w:tc>
        <w:tc>
          <w:tcPr>
            <w:tcW w:type="dxa" w:w="66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000000"/>
                <w:sz w:val="17"/>
              </w:rPr>
              <w:t>Nessun passaporto, documento sanitario o posizione personale nel modello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1.3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Modello logico dei dati</dc:title>
  <dc:subject>Documentazione funzionale e tecnica SMF Travel</dc:subject>
  <dc:creator>SMF Travel</dc:creator>
  <cp:keywords>DAMA-DMBOK, PostgreSQL, Neon, modello dati</cp:keywords>
  <dc:description>Aggiornato con Tour Leader temporaneo, governance AI e osservabilità.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