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67A84"/>
          <w:sz w:val="24"/>
        </w:rPr>
        <w:t>SMF Travel</w:t>
      </w:r>
    </w:p>
    <w:p>
      <w:pPr>
        <w:spacing w:after="120"/>
      </w:pPr>
      <w:r>
        <w:rPr>
          <w:rFonts w:ascii="Calibri" w:hAnsi="Calibri"/>
          <w:b/>
          <w:color w:val="102A35"/>
          <w:sz w:val="48"/>
        </w:rPr>
        <w:t>Rapporto completo dei test e dei casi d'uso</w:t>
      </w:r>
    </w:p>
    <w:p>
      <w:pPr>
        <w:spacing w:after="360"/>
      </w:pPr>
      <w:r>
        <w:rPr>
          <w:rFonts w:ascii="Calibri" w:hAnsi="Calibri"/>
          <w:b w:val="0"/>
          <w:color w:val="53666D"/>
          <w:sz w:val="24"/>
        </w:rPr>
        <w:t>Riconciliazione del catalogo storico e collaudo delle nuove funzioni AI</w:t>
      </w:r>
    </w:p>
    <w:p>
      <w:pPr>
        <w:pStyle w:val="Heading1"/>
      </w:pPr>
      <w:r>
        <w:t>Esito sintetico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Casi censiti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Superati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Parziali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Non superati</w:t>
            </w:r>
          </w:p>
        </w:tc>
      </w:tr>
      <w:tr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</w:tr>
    </w:tbl>
    <w:p>
      <w:r>
        <w:t>I 107 casi del catalogo precedente sono stati riconciliati con le verifiche manuali già eseguite in produzione. Sono stati inoltre aggiunti 14 casi per i profili Paese verificati e per la conversione AI del preventivo. Tutti i 121 casi risultano superati.</w:t>
      </w:r>
    </w:p>
    <w:p>
      <w:pPr>
        <w:pStyle w:val="Heading1"/>
      </w:pPr>
      <w:r>
        <w:t>Regressioni eseguite in questa sessione</w:t>
      </w:r>
    </w:p>
    <w:p>
      <w:pPr>
        <w:pStyle w:val="ListBullet"/>
        <w:spacing w:after="60"/>
      </w:pPr>
      <w:r>
        <w:t>Build Next.js 16.3.2 e TypeScript: superata, 43 pagine generate.</w:t>
      </w:r>
    </w:p>
    <w:p>
      <w:pPr>
        <w:pStyle w:val="ListBullet"/>
        <w:spacing w:after="60"/>
      </w:pPr>
      <w:r>
        <w:t>Quality guard: baseline, sicurezza migrazioni e confini runtime V3 superati.</w:t>
      </w:r>
    </w:p>
    <w:p>
      <w:pPr>
        <w:pStyle w:val="ListBullet"/>
        <w:spacing w:after="60"/>
      </w:pPr>
      <w:r>
        <w:t>PWA offline: shell, programma, dati e documenti in cache; cache privata rimossa al logout.</w:t>
      </w:r>
    </w:p>
    <w:p>
      <w:pPr>
        <w:pStyle w:val="ListBullet"/>
        <w:spacing w:after="60"/>
      </w:pPr>
      <w:r>
        <w:t>Neon V3: validazione schema e nove acceptance transazionali con rollback superate.</w:t>
      </w:r>
    </w:p>
    <w:p>
      <w:pPr>
        <w:pStyle w:val="ListBullet"/>
        <w:spacing w:after="60"/>
      </w:pPr>
      <w:r>
        <w:t>Bedrock import preventivo: estrazione strutturata, 85 evidenze, riconciliazione e DOCX normalizzato superati.</w:t>
      </w:r>
    </w:p>
    <w:p>
      <w:pPr>
        <w:pStyle w:val="ListBullet"/>
        <w:spacing w:after="60"/>
      </w:pPr>
      <w:r>
        <w:t>Bedrock contenuti: 11 informazioni utili verificate, 12 frasi, 15 bingo, 10 quiz città, 7 quiz sito, missioni, giochi e contest.</w:t>
      </w:r>
    </w:p>
    <w:p>
      <w:pPr>
        <w:pStyle w:val="ListBullet"/>
        <w:spacing w:after="60"/>
      </w:pPr>
      <w:r>
        <w:t>Bedrock foto: 18 valutazioni su 18 corrette, nessun falso positivo o negativo, invarianza all'ordine confermata.</w:t>
      </w:r>
    </w:p>
    <w:p>
      <w:pPr>
        <w:pStyle w:val="Heading1"/>
      </w:pPr>
      <w:r>
        <w:t>Correzioni applicate</w:t>
      </w:r>
    </w:p>
    <w:p>
      <w:pPr>
        <w:pStyle w:val="ListBullet"/>
        <w:spacing w:after="60"/>
      </w:pPr>
      <w:r>
        <w:t>Il test PWA usa ora la versione cache dichiarata dal service worker e non una versione codificata nel test.</w:t>
      </w:r>
    </w:p>
    <w:p>
      <w:pPr>
        <w:pStyle w:val="ListBullet"/>
        <w:spacing w:after="60"/>
      </w:pPr>
      <w:r>
        <w:t>L'acceptance overview agenzia usa il ruolo smf_app in transazione con rollback, senza dipendere da una seconda URL runtime.</w:t>
      </w:r>
    </w:p>
    <w:p>
      <w:pPr>
        <w:pStyle w:val="ListBullet"/>
        <w:spacing w:after="60"/>
      </w:pPr>
      <w:r>
        <w:t>La regressione dei profili Paese riconosce lo stato approvato del flusso verificato.</w:t>
      </w:r>
    </w:p>
    <w:p>
      <w:pPr>
        <w:pStyle w:val="ListBullet"/>
        <w:spacing w:after="60"/>
      </w:pPr>
      <w:r>
        <w:t>Per un Paese, Bedrock genera soltanto contenuti creativi; le informazioni sensibili provengono obbligatoriamente dal profilo verificato.</w:t>
      </w:r>
    </w:p>
    <w:p>
      <w:r>
        <w:br w:type="page"/>
      </w:r>
    </w:p>
    <w:p>
      <w:pPr>
        <w:pStyle w:val="Heading1"/>
      </w:pPr>
      <w:r>
        <w:t>Registro completo dei casi d'uso</w:t>
      </w:r>
    </w:p>
    <w:p>
      <w:r>
        <w:t>Ogni riga riporta l'esito consolidato e l'evidenza principale disponibile.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2600"/>
        <w:gridCol w:w="1150"/>
        <w:gridCol w:w="4360"/>
      </w:tblGrid>
      <w:tr>
        <w:trPr>
          <w:tblHeader/>
        </w:trPr>
        <w:tc>
          <w:tcPr>
            <w:tcW w:type="dxa" w:w="12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Caso d'uso</w:t>
            </w:r>
          </w:p>
        </w:tc>
        <w:tc>
          <w:tcPr>
            <w:tcW w:type="dxa" w:w="11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43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con username e password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Invito personale e attivazione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Recupero password per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Logout, rinnovo e blocco delle sessioni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Controllo disponibilità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Login come utente per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agenzia e primo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dati agenzia e contatti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Branding white-label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Sospensione e riattivazione 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Sostituzione del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asincrona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agenzia e catalogo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 agenzia-gruppo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viaggio da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Elaborazione asincrona OCR e AI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Interpretazione del programma e dati commerciali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umana della bozza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Salvataggio e ripresa della revisione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Pubblicazione controllata del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Cataloghi condivisi di paesi, città, siti e hotel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informazioni utili per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frasario locale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quiz, missioni, bingo, giochi e contest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preventivo originale e normalizzato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del programma pubblicato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variazioni operative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ed eliminazione gruppi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Inserimento e invito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Rimozione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Assegnazione e cessione capogruppo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Partecipazione individuale ai giochi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Privacy e consenso immagini per minori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di viaggio per giornata e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e consultazione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documenti da parte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Biglietti collegati alle attività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navigazione mobile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giornaliero ordinato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Mappa operativa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 utili e orologi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Frasario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Meteo e contesto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 e duty of care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Registrazione spesa di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Totale speso in euro e totali per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Prelievi e cambi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spese, prelievi e cambi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Pareggio conti del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Inserimenti finanziari offline e sincronizzazione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Missioni giornaliere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Massimo due tentativi per missione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Bingo in stile tombola napoletana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Punteggi ambo, terno, quaterna, cinquina e tombola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Quiz giornalieri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Giochi semplici a tema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Contest fotografico: selezione e conferma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Valutazione AI e scelta della foto migliore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Chiusura contest e classifiche temporali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Classifiche e profilo Sfide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Ricordi e diario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Album finale PDF e condivisione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Feedback sul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Installazione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Consultazione offline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Aggiornamento della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Notifiche push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Promemoria programmati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Accessibilità e preferenze inclusive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Pagina di login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Attivazione e recupero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Elenco utenti e login-come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Dashboard agenzia ed elenco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Import e revisione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pubblicato modificabile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Gruppi e viaggiatori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Chat operativa già verificata manualmente; isolamento tenant coperto dal relativo smoke test.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programma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Informazioni, frasi, documenti e SOS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Spese e cassa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Sfide e classifiche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installazione e accessibilità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rapido da invito personale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Governance dei contenuti paese sensibili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Registro variazioni e presa 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Definizioni, formule e freschezza dei KPI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Aprire la dashboard Analytics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periodo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partenza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il funnel di adozione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una consultazione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l'uso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richieste di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engagement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Analizzare feedback per tappa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Gestire assenza di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isolamento tenant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resilienza tracking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idempotenza e anti-replay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accessibilita e responsive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Primo popolamento automatico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Profilo verificato accettato dal test; generazione creativa bloccata in assenza del profilo.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Riuso del profilo Paese tra viaggi 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Persistenza centralizzata e separazione tenant verificate dal modello e dai test del repository.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Blocco di dati Paese non verificati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Numero di emergenza inventato respinto dal test automatico.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del responsabile dell'agenzia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Approvazione isolata per agenzia e versione; superuser e utenti non owner esclusi dal controllo.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Scadenza e aggiornamento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Data di verifica, fonti e policy di aggiornamento validate dallo schema.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Separazione tra contenuto fattuale e creativo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Bedrock genera solo frasario e bingo; le 11 informazioni utili provengono dal profilo verificato.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Estrazione completa del preventivo con evidenze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Acceptance Bedrock reale superata con 85 evidenze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Sezioni commerciali esterne all'itinerario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Tre righe commerciali estratte e riconciliate nel collaudo reale.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Hotel separati e pernottamenti multipli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Hotel e pernottamenti estratti nel modello strutturato e nel DOCX normalizzato.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Controlli deterministici di completezza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Validazioni di schema e riconciliazione eseguite dopo l'estrazione.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Risoluzione assistita delle anomalie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Sei anomalie di riconciliazione prodotte con dettaglio azionabile.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Confronto con la fonte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Ogni informazione estratta mantiene evidence locator e testo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Correzione selettiva senza perdita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Merge e normalizzazione preservano campi validi e segnalano solo le incongruenze.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Regressione multi-formato e multi-paese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Fixture Belgio e pipeline Paese/città/sito superate; schema indipendente dalla destinazione.</w:t>
            </w:r>
          </w:p>
        </w:tc>
      </w:tr>
    </w:tbl>
    <w:p>
      <w:pPr>
        <w:pStyle w:val="Heading1"/>
      </w:pPr>
      <w:r>
        <w:t>Conclusione</w:t>
      </w:r>
    </w:p>
    <w:p>
      <w:r>
        <w:t>Il catalogo consolidato contiene 121 casi d'uso superati. Non risultano anomalie bloccanti aperte nel perimetro eseguito. Le prove che modificano dati di produzione sono state evitate: le verifiche Neon sono state svolte in transazioni annullate con rollback.</w:t>
      </w:r>
    </w:p>
    <w:p>
      <w:r>
        <w:br w:type="page"/>
      </w:r>
    </w:p>
    <w:p>
      <w:pPr>
        <w:pStyle w:val="Heading1"/>
        <w:keepNext/>
      </w:pPr>
      <w:r>
        <w:t>Aggiornamento verifiche - 2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Le verifiche seguenti integrano il rapporto senza modificare il consuntivo storico dei 121 casi gia riconciliati.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Verifica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Esito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Evidenza</w:t>
            </w:r>
          </w:p>
        </w:tc>
      </w:tr>
      <w:tr>
        <w:tc>
          <w:tcPr>
            <w:tcW w:type="dxa" w:w="3360"/>
          </w:tcPr>
          <w:p>
            <w:r>
              <w:t>Owner valida profilo Paese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transazionale con approvazione per agenzia e versione.</w:t>
            </w:r>
          </w:p>
        </w:tc>
      </w:tr>
      <w:tr>
        <w:tc>
          <w:tcPr>
            <w:tcW w:type="dxa" w:w="3360"/>
          </w:tcPr>
          <w:p>
            <w:r>
              <w:t>Superuser escluso dalla validazione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Stored API restituisce SQLSTATE 42501 e la sezione non compare nel pannello superuser.</w:t>
            </w:r>
          </w:p>
        </w:tc>
      </w:tr>
      <w:tr>
        <w:tc>
          <w:tcPr>
            <w:tcW w:type="dxa" w:w="3360"/>
          </w:tcPr>
          <w:p>
            <w:r>
              <w:t>Isolamento tra agenzie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profilo approvato e leggibile soltanto nel tenant che lo ha validato.</w:t>
            </w:r>
          </w:p>
        </w:tc>
      </w:tr>
      <w:tr>
        <w:tc>
          <w:tcPr>
            <w:tcW w:type="dxa" w:w="3360"/>
          </w:tcPr>
          <w:p>
            <w:r>
              <w:t>Ripresa dopo approvazione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materializzatore riusa il profilo approvato e continua il flusso.</w:t>
            </w:r>
          </w:p>
        </w:tc>
      </w:tr>
      <w:tr>
        <w:tc>
          <w:tcPr>
            <w:tcW w:type="dxa" w:w="3360"/>
          </w:tcPr>
          <w:p>
            <w:r>
              <w:t>Conversione AI preventivo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Bedrock: estrazione strutturata, evidenze e riconciliazione.</w:t>
            </w:r>
          </w:p>
        </w:tc>
      </w:tr>
      <w:tr>
        <w:tc>
          <w:tcPr>
            <w:tcW w:type="dxa" w:w="3360"/>
          </w:tcPr>
          <w:p>
            <w:r>
              <w:t>Qualita foto AI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Dataset sintetico: 18 valutazioni corrette, nessun falso positivo o negativo.</w:t>
            </w:r>
          </w:p>
        </w:tc>
      </w:tr>
      <w:tr>
        <w:tc>
          <w:tcPr>
            <w:tcW w:type="dxa" w:w="3360"/>
          </w:tcPr>
          <w:p>
            <w:r>
              <w:t>Build e regressioni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Build Next.js, quality guard e Consolidation gate del commit d771a32.</w:t>
            </w:r>
          </w:p>
        </w:tc>
      </w:tr>
    </w:tbl>
    <w:p/>
    <w:p>
      <w:pPr>
        <w:pStyle w:val="Heading2"/>
        <w:keepNext/>
      </w:pPr>
      <w:r>
        <w:t>Casi da mantenere nella regressione</w:t>
      </w:r>
    </w:p>
    <w:p>
      <w:pPr>
        <w:pStyle w:val="ListBullet"/>
      </w:pPr>
      <w:r>
        <w:t>Cambio versione del profilo dopo approvazione: il viaggio deve tornare in attesa di validazione.</w:t>
      </w:r>
    </w:p>
    <w:p>
      <w:pPr>
        <w:pStyle w:val="ListBullet"/>
      </w:pPr>
      <w:r>
        <w:t>Owner di un'altra agenzia e agente della stessa agenzia: approvazione vietata.</w:t>
      </w:r>
    </w:p>
    <w:p>
      <w:pPr>
        <w:pStyle w:val="ListBullet"/>
      </w:pPr>
      <w:r>
        <w:t>Pubblicazione ripetuta: nessun duplicato nei cataloghi condivisi e nelle strutture del viaggio.</w:t>
      </w:r>
    </w:p>
    <w:p>
      <w:pPr>
        <w:pStyle w:val="ListBullet"/>
      </w:pPr>
      <w:r>
        <w:t>Destinazioni differenti: nessuna contaminazione di valuta, lingua, fonti, missioni, bingo, quiz o contest.</w:t>
      </w:r>
    </w:p>
    <w:p>
      <w:pPr>
        <w:pStyle w:val="ListBullet"/>
      </w:pPr>
      <w:r>
        <w:t>Foto semanticamente simile ma geograficamente errata: valutazione prudente o rifiuto, mai vittoria automatica.</w:t>
      </w:r>
    </w:p>
    <w:p>
      <w:r>
        <w:br w:type="page"/>
      </w:r>
    </w:p>
    <w:p>
      <w:pPr>
        <w:pStyle w:val="Heading1"/>
      </w:pPr>
      <w:r>
        <w:t>Addendum di riesecuzione - 2 settembre 2026</w:t>
      </w:r>
    </w:p>
    <w:p>
      <w:pPr>
        <w:spacing w:after="200"/>
      </w:pPr>
      <w:r>
        <w:rPr>
          <w:rFonts w:ascii="Calibri" w:hAnsi="Calibri"/>
          <w:b w:val="0"/>
          <w:color w:val="102A35"/>
          <w:sz w:val="20"/>
        </w:rPr>
        <w:t>La presente sezione registra una nuova riesecuzione tecnica del collaudo. Non sostituisce le evidenze manuali già raccolte: consolida i controlli automatici, le prove AWS/Bedrock e il collaudo autenticato eseguito in produzione.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1500"/>
        <w:gridCol w:w="5160"/>
      </w:tblGrid>
      <w:tr>
        <w:tc>
          <w:tcPr>
            <w:tcW w:type="dxa" w:w="27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5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51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Quality guard e TypeScript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Baseline, 114 migrazioni e 24 confini runtime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Build Next.js 16.3.2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Compilazione, TypeScript e generazione di 43 pagine completate.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Schema Neon V3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78 tabelle, 61 con RLS; nessun vincolo o indice invalido.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Flussi Neon transazionali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Profili Paese, gruppi, inviti, analytics, engagement, foto e write cutover.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offline e sync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Installabilità, cache privata, documenti offline e idempotenza finanziaria.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Push e pianificazione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Contratti client/service worker e invio pianificato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Qualità deterministica import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Rilevate tutte le otto classi di anomalia attese.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Invocazioni Bedrock reali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Import preventivo, contenuti Paese e valutazione fotografica eseguiti con Amazon Nova.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Dataset fotografico AI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18/18 valutazioni corrette; zero falsi positivi e negativi, verdetto stabile.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Autorizzazione ruolo DB runtime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Identità, impersonazione, scope viaggiatore, media e mutazioni verificati assumendo smf_app.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agenzia asincrona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Pipeline SQS-Lambda-Neon completata fino allo stato completed su fixture temporanea.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Browser autenticato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Pannello responsabile, programma, gruppi, documenti, chat, agenti, analytics e login-come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Layout mobile programma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Corretto l'overflow della testata a 360 px rendendo Preventivi coerente con le altre schede.</w:t>
            </w:r>
          </w:p>
        </w:tc>
      </w:tr>
    </w:tbl>
    <w:p>
      <w:pPr>
        <w:pStyle w:val="Heading2"/>
      </w:pPr>
      <w:r>
        <w:t>Anomalie corrette durante la riesecuzione</w:t>
      </w:r>
    </w:p>
    <w:p>
      <w:pPr>
        <w:pStyle w:val="ListBullet"/>
        <w:spacing w:after="60"/>
      </w:pPr>
      <w:r>
        <w:t>Il validatore dello schema ammette ora il totale corrente di 78 tabelle, mantenendo invariati gli altri gate.</w:t>
      </w:r>
    </w:p>
    <w:p>
      <w:pPr>
        <w:pStyle w:val="ListBullet"/>
        <w:spacing w:after="60"/>
      </w:pPr>
      <w:r>
        <w:t>La fixture del quiz usa date relative al giorno di esecuzione e non produce più falsi errori dopo il 1 settembre 2026.</w:t>
      </w:r>
    </w:p>
    <w:p>
      <w:pPr>
        <w:pStyle w:val="ListBullet"/>
        <w:spacing w:after="60"/>
      </w:pPr>
      <w:r>
        <w:t>La testata mobile del programma non supera più il viewport sui dispositivi Android compatti.</w:t>
      </w:r>
    </w:p>
    <w:p>
      <w:pPr>
        <w:pStyle w:val="Heading2"/>
      </w:pPr>
      <w:r>
        <w:t>Valutazione corrente</w:t>
      </w:r>
    </w:p>
    <w:p>
      <w:r>
        <w:t>La build, i controlli automatici, Neon, AWS, Bedrock e il percorso browser autenticato risultano verdi. Il punto 1 del piano di consolidamento è chiuso. La lettura diretta della password della DSN runtime resta deliberatamente esclusa: ruolo, privilegi e collegamento applicativo sono stati verificati senza esporre il segreto.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Stato verifica incremento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Esito</w:t>
            </w:r>
          </w:p>
        </w:tc>
        <w:tc>
          <w:tcPr>
            <w:tcW w:type="dxa" w:w="3360"/>
          </w:tcPr>
          <w:p>
            <w:r>
              <w:t>Evidenza</w:t>
            </w:r>
          </w:p>
        </w:tc>
      </w:tr>
      <w:tr>
        <w:tc>
          <w:tcPr>
            <w:tcW w:type="dxa" w:w="3360"/>
          </w:tcPr>
          <w:p>
            <w:r>
              <w:t>Migrazione 135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Dry-run e applicazione con gate completi</w:t>
            </w:r>
          </w:p>
        </w:tc>
      </w:tr>
      <w:tr>
        <w:tc>
          <w:tcPr>
            <w:tcW w:type="dxa" w:w="3360"/>
          </w:tcPr>
          <w:p>
            <w:r>
              <w:t>Catalogo Neon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85 tabelle, 68 RLS, 0 indici/vincoli invalidi</w:t>
            </w:r>
          </w:p>
        </w:tc>
      </w:tr>
      <w:tr>
        <w:tc>
          <w:tcPr>
            <w:tcW w:type="dxa" w:w="3360"/>
          </w:tcPr>
          <w:p>
            <w:r>
              <w:t>Compilazione TypeScript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tsc --noEmit</w:t>
            </w:r>
          </w:p>
        </w:tc>
      </w:tr>
      <w:tr>
        <w:tc>
          <w:tcPr>
            <w:tcW w:type="dxa" w:w="3360"/>
          </w:tcPr>
          <w:p>
            <w:r>
              <w:t>Test unitari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3 file, 6 test</w:t>
            </w:r>
          </w:p>
        </w:tc>
      </w:tr>
      <w:tr>
        <w:tc>
          <w:tcPr>
            <w:tcW w:type="dxa" w:w="3360"/>
          </w:tcPr>
          <w:p>
            <w:r>
              <w:t>Casi UC-108..UC-118</w:t>
            </w:r>
          </w:p>
        </w:tc>
        <w:tc>
          <w:tcPr>
            <w:tcW w:type="dxa" w:w="3360"/>
          </w:tcPr>
          <w:p>
            <w:r>
              <w:t>DA ESEGUIRE E2E</w:t>
            </w:r>
          </w:p>
        </w:tc>
        <w:tc>
          <w:tcPr>
            <w:tcW w:type="dxa" w:w="3360"/>
          </w:tcPr>
          <w:p>
            <w:r>
              <w:t>Richiedono account e gruppi rappresentativi</w:t>
            </w:r>
          </w:p>
        </w:tc>
      </w:tr>
    </w:tbl>
    <w:p>
      <w:r>
        <w:br w:type="page"/>
      </w:r>
    </w:p>
    <w:p>
      <w:pPr>
        <w:pStyle w:val="Heading1"/>
      </w:pPr>
      <w:r>
        <w:t>Aggiornamento di predisposizione al collaudo operatore</w:t>
      </w:r>
    </w:p>
    <w:p>
      <w:r>
        <w:t>Questo aggiornamento conserva gli esiti storici del rapporto 1.4 e registra le evidenze tecniche successive. Non dichiara superati i nuovi casi che richiedono un operatore reale.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1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Evidenza disponibile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Build e gate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Build di produzione completato; 23 test unitari; controlli schema, API, nomenclatura, TypeScript, lint e formato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nell’ultima verifica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Schema Neon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Versione 195; 96 tabelle, 70 RLS, nessun vincolo o indice invalido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Staff revocato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194: profili, membership e account non attivi esclusi dagli elenchi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tecnicamente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Accesso temporale staff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195: futuri/in corso visibili; passato con test_access_until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tecnicamente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di prova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rimossa non visibile; guida attiva con accesso test vede la partenza assegnata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su dato di prova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Ruoli e audience 174-193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Implementazione e contratti database disponibili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 collaudare end-to-end con operatore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AI live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Harness disponibile ma nessuna pianificazione automatica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Sospeso per decisione costi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WAF e dominio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configurabile sul dominio condiviso attuale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Rinviato e non bloccante</w:t>
            </w:r>
          </w:p>
        </w:tc>
      </w:tr>
    </w:tbl>
    <w:p>
      <w:pPr>
        <w:spacing w:after="40"/>
      </w:pPr>
    </w:p>
    <w:p>
      <w:pPr>
        <w:pStyle w:val="Heading2"/>
      </w:pPr>
      <w:r>
        <w:t>Casi prioritari da eseguire con l’operatore</w:t>
      </w:r>
    </w:p>
    <w:p>
      <w:pPr>
        <w:pStyle w:val="ListBullet"/>
      </w:pPr>
      <w:r>
        <w:t>Creazione completa del personale e accettazione degli inviti per ogni ruolo.</w:t>
      </w:r>
    </w:p>
    <w:p>
      <w:pPr>
        <w:pStyle w:val="ListBullet"/>
      </w:pPr>
      <w:r>
        <w:t>Assegnazione di accompagnatori, guide e agenti a giornate differenti.</w:t>
      </w:r>
    </w:p>
    <w:p>
      <w:pPr>
        <w:pStyle w:val="ListBullet"/>
      </w:pPr>
      <w:r>
        <w:t>Confronto dei menu e delle autorizzazioni fra responsabile e agente.</w:t>
      </w:r>
    </w:p>
    <w:p>
      <w:pPr>
        <w:pStyle w:val="ListBullet"/>
      </w:pPr>
      <w:r>
        <w:t>Accesso accompagnatore e guida, lettura di tutto il programma e modifica delle sole giornate assegnate.</w:t>
      </w:r>
    </w:p>
    <w:p>
      <w:pPr>
        <w:pStyle w:val="ListBullet"/>
      </w:pPr>
      <w:r>
        <w:t>Distribuzione di documenti e comunicazioni a viaggio, gruppo, viaggiatore, accompagnatore e guida.</w:t>
      </w:r>
    </w:p>
    <w:p>
      <w:pPr>
        <w:pStyle w:val="ListBullet"/>
      </w:pPr>
      <w:r>
        <w:t>Chat per ogni canale, compresi canale vuoto, aggiornamento automatico e confine della guida.</w:t>
      </w:r>
    </w:p>
    <w:p>
      <w:pPr>
        <w:pStyle w:val="ListBullet"/>
      </w:pPr>
      <w:r>
        <w:t>Presenze, azzeramento completo e segnalazioni del viaggiatore.</w:t>
      </w:r>
    </w:p>
    <w:p>
      <w:pPr>
        <w:pStyle w:val="ListBullet"/>
      </w:pPr>
      <w:r>
        <w:t>Impersonazione di utente invitato e rifiuto dei ruoli privilegiati.</w:t>
      </w:r>
    </w:p>
    <w:p>
      <w:pPr>
        <w:pStyle w:val="ListBullet"/>
      </w:pPr>
      <w:r>
        <w:t>Override informazioni Paese e verifica dell’isolamento fra due agenzie.</w:t>
      </w:r>
    </w:p>
    <w:p>
      <w:pPr>
        <w:pStyle w:val="ListBullet"/>
      </w:pPr>
      <w:r>
        <w:t>Responsive desktop, Android Chrome e dispositivo fold chiuso; offline documenti e logout.</w:t>
      </w:r>
    </w:p>
    <w:p>
      <w:pPr>
        <w:pStyle w:val="Heading2"/>
      </w:pPr>
      <w:r>
        <w:t>Criterio per dichiarare chiuso il collaudo</w:t>
      </w:r>
    </w:p>
    <w:p>
      <w:r>
        <w:t>Tutti i casi prioritari e i casi della versione 1.3 devono avere esito registrato. Le anomalie bloccanti e gravi devono essere pari a zero. Le anomalie medie o lievi eventualmente rinviate devono avere responsabile, motivazione e data obiettivo. Nessun test AI live deve essere avviato senza autorizzazione esplicita.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66D"/>
        <w:sz w:val="16"/>
      </w:rPr>
      <w:t>Versione 1.3 | 2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66D"/>
        <w:sz w:val="17"/>
      </w:rPr>
      <w:t>SMF Travel | Rapporto di collaudo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Rapporto completo dei test</dc:title>
  <dc:subject>Documentazione funzionale e tecnica SMF Travel</dc:subject>
  <dc:creator>SMF Travel</dc:creator>
  <cp:keywords/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