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1.0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Candidate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1.0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Candidate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READY; stack CloudFormation AWS UPDATE_COMPLETE; Lambda Active; event source SQS Enabled; coda primaria vuota. La DLQ contiene 1 messaggio e il relativo allarme CloudWatch è ALARM: è una finding operativa aperta, non una caratteristica target.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Auth,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notifica SNS non evidenziata nello stack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Famiglia/party: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famiglia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Neon Auth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opzionale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Auth 0.5 beta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Neon Auth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Neon Auth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della famiglia.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e Neon Auth SDK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con almeno un messaggio.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conteneva 1 messaggio alla verifica e l’allarme era ALARM. Azione: leggere metadata/log correlati senza reimmettere ciecamente il payload, classificare causa, correggere, redrive controllato o rimozione documentata, quindi verificare ritorno OK.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la subscription email sono condizionali e non risultano tra le risorse dello stack attivo. Gli allarmi esistono ma manca evidenza di una notifica proattiva a un responsabile. Configurare AlarmEmail o un canale equivalente.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con 1 messaggio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Allarmi senza destinatario SNS evidenziato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Neon Auth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Pin versione, test upgrade, piano sostituzione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allineare a Nova 2 Lite o leggere da unico source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prima del sign-off operativo: chiudere DLQ, attivare destinatario allarmi, allineare modello Bedrock configurato.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P2 per crescita: branch Neon per PR, metriche business/SLO, rate limiting, WAF, budget e cost allocation tag.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Neon Auth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Neon Auth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r>
        <w:t>L'addendum recepisce la migrazione 103_v3_kpi_change_content_governance e il commit applicativo 300ed2d, mantenendo invariati i confini Vercel, Neon, AWS e Cloudflare R2.</w:t>
      </w:r>
    </w:p>
    <w:p>
      <w:pPr>
        <w:pStyle w:val="Heading2"/>
      </w:pPr>
      <w:r>
        <w:t>Componenti e connessioni</w:t>
      </w:r>
    </w:p>
    <w:p>
      <w:pPr>
        <w:pStyle w:val="ListBullet"/>
      </w:pPr>
      <w:r>
        <w:t>Client agenzia -&gt; Next.js App Router su Vercel -&gt; API Analytics -&gt; Neon: lettura tenant-scoped delle definizioni KPI versionate e degli aggregati operativi.</w:t>
      </w:r>
    </w:p>
    <w:p>
      <w:pPr>
        <w:pStyle w:val="ListBullet"/>
      </w:pPr>
      <w:r>
        <w:t>Editor programma -&gt; API Vercel -&gt; stored procedure SECURITY DEFINER -&gt; Neon: aggiornamento della giornata e creazione atomica di una comunicazione leggibile dal viaggiatore.</w:t>
      </w:r>
    </w:p>
    <w:p>
      <w:pPr>
        <w:pStyle w:val="ListBullet"/>
      </w:pPr>
      <w:r>
        <w:t>Client viaggiatore -&gt; API change-notices -&gt; funzione di acknowledgement -&gt; Neon: presa visione individuale, idempotente tramite client_operation_id.</w:t>
      </w:r>
    </w:p>
    <w:p>
      <w:pPr>
        <w:pStyle w:val="ListBullet"/>
      </w:pPr>
      <w:r>
        <w:t>Worker Bedrock -&gt; normalizzatore Zod -&gt; materializzatore -&gt; Neon: il contenuto sensibile viene salvato come needs_review con fonte, scadenza e disclaimer; l'AI non attribuisce lo stato approved.</w:t>
      </w:r>
    </w:p>
    <w:p>
      <w:pPr>
        <w:pStyle w:val="ListBullet"/>
      </w:pPr>
      <w:r>
        <w:t>Invito personale -&gt; pagina attiva-account -&gt; API Cognito server-side: l'utente sceglie accesso rapido monouso oppure username/password; l'email non è una chiave di identità.</w:t>
      </w:r>
    </w:p>
    <w:p>
      <w:pPr>
        <w:pStyle w:val="Heading2"/>
      </w:pPr>
      <w:r>
        <w:t>Sicurezza, resilienza e audit</w:t>
      </w:r>
    </w:p>
    <w:p>
      <w:pPr>
        <w:pStyle w:val="ListBullet"/>
      </w:pPr>
      <w:r>
        <w:t>RLS forzata su registro variazioni e ricevute; agency_id è la scope key e il leading field degli indici tenant.</w:t>
      </w:r>
    </w:p>
    <w:p>
      <w:pPr>
        <w:pStyle w:val="ListBullet"/>
      </w:pPr>
      <w:r>
        <w:t>Le mutazioni sono esposte al runtime esclusivamente tramite funzioni SECURITY DEFINER con search_path bloccato e verifica dell'appartenenza alla partenza.</w:t>
      </w:r>
    </w:p>
    <w:p>
      <w:pPr>
        <w:pStyle w:val="ListBullet"/>
      </w:pPr>
      <w:r>
        <w:t>La presa visione non equivale ad accettazione contrattuale. Consegna push, apertura e presa visione sono eventi distinti.</w:t>
      </w:r>
    </w:p>
    <w:p>
      <w:pPr>
        <w:pStyle w:val="ListBullet"/>
      </w:pPr>
      <w:r>
        <w:t>La migrazione è additiva, reversibile per disuso applicativo e compatibile con deploy a due fasi: schema prima, applicazione dopo.</w:t>
      </w:r>
    </w:p>
    <w:p>
      <w:pPr>
        <w:pStyle w:val="ListBullet"/>
      </w:pPr>
      <w:r>
        <w:t>Baseline verificata: 74 tabelle, 60 tabelle RLS, nessun indice invalido, vincolo non validato o tabella tenant priva di indice leading.</w:t>
      </w:r>
    </w:p>
    <w:p>
      <w:pPr>
        <w:pStyle w:val="Heading2"/>
      </w:pPr>
      <w:r>
        <w:t>Decisioni architetturali</w:t>
      </w:r>
    </w:p>
    <w:p>
      <w:r>
        <w:t>ADR-GOV-01: le formule KPI sono dati versionati. ADR-GOV-02: il registro comunicazioni è separato dall'audit tecnico. ADR-GOV-03: i contenuti sensibili richiedono human review. ADR-IAM-02: il magic link consuma un invito personale e crea una sessione Cognito senza trasformare l'email in identificatore univoco. Le passkey restano un'evoluzione subordinata alla configurazione WebAuthn del dominio Cognito.</w:t>
      </w:r>
    </w:p>
    <w:sectPr w:rsidR="00FC693F" w:rsidRPr="0006063C" w:rsidSect="00034616">
      <w:pgSz w:w="16838" w:h="11906" w:orient="landscape"/>
      <w:pgMar w:top="850" w:right="822" w:bottom="794" w:left="82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v1.0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Aptos" w:hAnsi="Aptos"/>
      <w:color w:val="183C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462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Architettura di soluzione v1.0</dc:title>
  <dc:subject>Documento as-built per validazione Solution Architect</dc:subject>
  <dc:creator>SMF Travel - Architecture Engineering</dc:creator>
  <cp:keywords>SMF Travel, architettura, Vercel, Neon, AWS, R2, Bedrock, SQS, Lambda</cp:keywords>
  <dc:description>Baseline codice 5e7b636; evidenze runtime al 27 agosto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