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60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47 tabelle previste con ENABLE + FORCE RLS: radice agenzia + 46 sotto-tabelle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46/46 sotto-tabelle dichiarate con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62930b2cd9df12cbfa4f98e3595d50a3ec0fe5b43ae420f975ee7fac6f43581e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47 tabelle ENABLE + FORCE;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target e installata e collaudata in Production. Il runtime continua a usare le tabelle public finche backfill, dual read e cutover non completano il percorso expand-migrate-contract.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sulle 46 sotto-tabelle tenant esiste sempre un indice dichiarato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famiglie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cross-family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famiglia,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La radice agenzia e 46 sotto-tabelle tenant hanno ENABLE e FORCE ROW LEVEL SECURITY; la policy usa agency_id.</w:t>
      </w:r>
    </w:p>
    <w:p>
      <w:pPr>
        <w:pStyle w:val="ListBullet"/>
      </w:pPr>
      <w:r>
        <w:t>Ogni sotto-tabella soggetta alla policy dispone di almeno un indice valido con agency_id come prima chiave; tools/audit_tenant_indexes.py e lo smoke test verificano il catalogo.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cross-family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cross-family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famiglia,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famiglie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famiglia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alla famiglia,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famiglie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famiglia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radice e sotto-tabelle tenant; audit statico conferma agency_id leading su 46/46 sotto-tabelle.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cross-family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Oggetti fisici introdotti dalla migrazione 103</w:t>
      </w:r>
    </w:p>
    <w:p>
      <w:pPr>
        <w:pStyle w:val="ListBullet"/>
      </w:pPr>
      <w:r>
        <w:t>ops.analytics_kpi_definitions(code, version): PK composita; formula, definizioni, source_events, refresh_interval, effective_from/effective_to.</w:t>
      </w:r>
    </w:p>
    <w:p>
      <w:pPr>
        <w:pStyle w:val="ListBullet"/>
      </w:pPr>
      <w:r>
        <w:t>ops.traveler_change_notices(id): FK agency/departure/day/item, JSONB previous_value/current_value, severity, changed_by, published_at.</w:t>
      </w:r>
    </w:p>
    <w:p>
      <w:pPr>
        <w:pStyle w:val="ListBullet"/>
      </w:pPr>
      <w:r>
        <w:t>ops.traveler_change_notice_receipts(notice_id, traveler_id): PK composita; UNIQUE(traveler_id, client_operation_id).</w:t>
      </w:r>
    </w:p>
    <w:p>
      <w:pPr>
        <w:pStyle w:val="ListBullet"/>
      </w:pPr>
      <w:r>
        <w:t>travel.template_useful_information: source_name, source_url, source_retrieved_at, verified_at, expires_at, review_status, reviewed_by, disclaimer.</w:t>
      </w:r>
    </w:p>
    <w:p>
      <w:pPr>
        <w:pStyle w:val="Heading2"/>
      </w:pPr>
      <w:r>
        <w:t>Indici, vincoli e RLS</w:t>
      </w:r>
    </w:p>
    <w:p>
      <w:pPr>
        <w:pStyle w:val="ListBullet"/>
      </w:pPr>
      <w:r>
        <w:t>traveler_change_notices_scope_idx(agency_id, departure_id, published_at DESC).</w:t>
      </w:r>
    </w:p>
    <w:p>
      <w:pPr>
        <w:pStyle w:val="ListBullet"/>
      </w:pPr>
      <w:r>
        <w:t>traveler_change_receipts_tenant_idx(agency_id, traveler_id, read_at DESC).</w:t>
      </w:r>
    </w:p>
    <w:p>
      <w:pPr>
        <w:pStyle w:val="ListBullet"/>
      </w:pPr>
      <w:r>
        <w:t>useful_information_governance_idx(agency_id, template_version_id, review_status, expires_at).</w:t>
      </w:r>
    </w:p>
    <w:p>
      <w:pPr>
        <w:pStyle w:val="ListBullet"/>
      </w:pPr>
      <w:r>
        <w:t>CHECK su severity, change_type, review_status e intervallo di efficacia KPI; JSONB non nullo per valori precedente/corrente.</w:t>
      </w:r>
    </w:p>
    <w:p>
      <w:pPr>
        <w:pStyle w:val="ListBullet"/>
      </w:pPr>
      <w:r>
        <w:t>ENABLE + FORCE RLS sulle due tabelle tenant operative; policy basata su current_setting('app.agency_id').</w:t>
      </w:r>
    </w:p>
    <w:p>
      <w:pPr>
        <w:pStyle w:val="ListBullet"/>
      </w:pPr>
      <w:r>
        <w:t>ON DELETE RESTRICT per radici e identità; CASCADE limitata alle ricevute dipendenti dalla comunicazione e alla partenza secondo il ciclo batch già governato.</w:t>
      </w:r>
    </w:p>
    <w:p>
      <w:pPr>
        <w:pStyle w:val="Heading2"/>
      </w:pPr>
      <w:r>
        <w:t>Stored API e transazionalità</w:t>
      </w:r>
    </w:p>
    <w:p>
      <w:pPr>
        <w:pStyle w:val="ListBullet"/>
      </w:pPr>
      <w:r>
        <w:t>app.publish_traveler_change_notice_v3: SECURITY DEFINER, search_path fisso, verifica ruolo owner/editor e appartenenza della giornata alla partenza.</w:t>
      </w:r>
    </w:p>
    <w:p>
      <w:pPr>
        <w:pStyle w:val="ListBullet"/>
      </w:pPr>
      <w:r>
        <w:t>app.acknowledge_traveler_change_notice_v3: SECURITY DEFINER, verifica membership attiva e upsert idempotente della ricevuta.</w:t>
      </w:r>
    </w:p>
    <w:p>
      <w:pPr>
        <w:pStyle w:val="ListBullet"/>
      </w:pPr>
      <w:r>
        <w:t>app.update_departure_programme_day_v3 resta il punto di mutazione del programma; il repository applicativo registra subito dopo la comunicazione con snapshot precedente/corrente.</w:t>
      </w:r>
    </w:p>
    <w:p>
      <w:pPr>
        <w:pStyle w:val="ListBullet"/>
      </w:pPr>
      <w:r>
        <w:t>Il runtime smf_app riceve SELECT minimo e EXECUTE esclusivamente sulle stored API; PUBLIC è revocato.</w:t>
      </w:r>
    </w:p>
    <w:p>
      <w:pPr>
        <w:pStyle w:val="Heading2"/>
      </w:pPr>
      <w:r>
        <w:t>Stato di validazione fisica</w:t>
      </w:r>
    </w:p>
    <w:p>
      <w:r>
        <w:t>Migrazione applicata con gate positivi. Inventario risultante: 74 tabelle, 60 RLS, 0 constraint non validati, 0 indici invalidi, 0 tabelle tenant senza indice agency_id-leading. Quality guard e build Next.js 16.3.2 superati.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1.2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