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Rapporto completo di esecuzione dei test</w:t>
      </w:r>
    </w:p>
    <w:p>
      <w:pPr>
        <w:spacing w:after="320"/>
      </w:pPr>
      <w:r>
        <w:rPr>
          <w:color w:val="5E6B73"/>
          <w:sz w:val="26"/>
        </w:rPr>
        <w:t>SMF Travel - copertura dei casi d'uso funzionali, visuali e Analytics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2376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Campo</w:t>
            </w:r>
          </w:p>
        </w:tc>
        <w:tc>
          <w:tcPr>
            <w:tcW w:type="dxa" w:w="6984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Valore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Data esecuzione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30 agosto 2026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Ambiente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locale Next.js + Neon produzione tramite connessione owner di migrazione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Sorgente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SMF_Travel_Casi_Uso_Completi_v1.1.docx, inclusi governance, onboarding e Analytics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Casi censiti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107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Metodo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Suite automatiche, dry-run DB, smoke HTTP, browser pubblico e verifica statica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1. Esito esecutivo</w:t>
      </w:r>
    </w:p>
    <w:p>
      <w:r>
        <w:t>Sono stati censiti 107 casi d'uso. L'esecuzione ha prodotto 42 casi superati, 58 parzialmente coperti, 7 bloccati da prerequisiti esterni e 0 casi completamente non superati. Le suite strutturali, la build, il modello dati, le migrazioni fino alla 113, Analytics, chat, gestione spese, governance contenuti, album PDF e PWA risultano conformi.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08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Esito</w:t>
            </w:r>
          </w:p>
        </w:tc>
        <w:tc>
          <w:tcPr>
            <w:tcW w:type="dxa" w:w="108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Casi</w:t>
            </w:r>
          </w:p>
        </w:tc>
        <w:tc>
          <w:tcPr>
            <w:tcW w:type="dxa" w:w="6192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Interpretazione</w:t>
            </w:r>
          </w:p>
        </w:tc>
      </w:tr>
      <w:tr>
        <w:tc>
          <w:tcPr>
            <w:tcW w:type="dxa" w:w="2088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080"/>
            <w:vAlign w:val="top"/>
          </w:tcPr>
          <w:p>
            <w:r>
              <w:t>42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Flusso o contratto dimostrato da esecuzione ripetibile.</w:t>
            </w:r>
          </w:p>
        </w:tc>
      </w:tr>
      <w:tr>
        <w:tc>
          <w:tcPr>
            <w:tcW w:type="dxa" w:w="2088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1080"/>
            <w:vAlign w:val="top"/>
          </w:tcPr>
          <w:p>
            <w:r>
              <w:t>58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Copertura tecnica positiva, ma manca almeno una prova UI/integrata.</w:t>
            </w:r>
          </w:p>
        </w:tc>
      </w:tr>
      <w:tr>
        <w:tc>
          <w:tcPr>
            <w:tcW w:type="dxa" w:w="2088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080"/>
            <w:vAlign w:val="top"/>
          </w:tcPr>
          <w:p>
            <w:r>
              <w:t>7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Prerequisito esterno assente; non equivale a difetto.</w:t>
            </w:r>
          </w:p>
        </w:tc>
      </w:tr>
      <w:tr>
        <w:tc>
          <w:tcPr>
            <w:tcW w:type="dxa" w:w="2088"/>
            <w:vAlign w:val="top"/>
            <w:shd w:fill="FCE4E4"/>
          </w:tcPr>
          <w:p>
            <w:pPr>
              <w:spacing w:after="40"/>
            </w:pPr>
            <w:r>
              <w:rPr>
                <w:sz w:val="16"/>
              </w:rPr>
              <w:t>NON SUPERATO</w:t>
            </w:r>
          </w:p>
        </w:tc>
        <w:tc>
          <w:tcPr>
            <w:tcW w:type="dxa" w:w="1080"/>
            <w:vAlign w:val="top"/>
          </w:tcPr>
          <w:p>
            <w:pPr>
              <w:spacing w:after="40"/>
            </w:pPr>
            <w:r>
              <w:rPr>
                <w:sz w:val="16"/>
              </w:rPr>
              <w:t>0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Comportamento osservato contrario al criterio del caso.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2. Evidenze tecniche principali</w:t>
      </w:r>
    </w:p>
    <w:p>
      <w:pPr>
        <w:pStyle w:val="ListBullet"/>
        <w:spacing w:after="80"/>
      </w:pPr>
      <w:r>
        <w:t>Quality guard, TypeScript e build Next.js di produzione superati; 43 pagine generate.</w:t>
      </w:r>
    </w:p>
    <w:p>
      <w:pPr>
        <w:pStyle w:val="ListBullet"/>
        <w:spacing w:after="80"/>
      </w:pPr>
      <w:r>
        <w:t>Neon validato: 74 tabelle, 60 con RLS, nessun indice invalido, nessun vincolo non validato e nessuna tabella tenant senza indice agency_id leading.</w:t>
      </w:r>
    </w:p>
    <w:p>
      <w:pPr>
        <w:pStyle w:val="ListBullet"/>
        <w:spacing w:after="80"/>
      </w:pPr>
      <w:r>
        <w:t>Smoke Analytics superato con rollback: registrazione, lettura RLS, attore distinto e idempotenza.</w:t>
      </w:r>
    </w:p>
    <w:p>
      <w:pPr>
        <w:pStyle w:val="ListBullet"/>
        <w:spacing w:after="80"/>
      </w:pPr>
      <w:r>
        <w:t>Smoke spese, chat, accesso agenzia e acceptance su owner, provisioning e cancellazione superati.</w:t>
      </w:r>
    </w:p>
    <w:p>
      <w:pPr>
        <w:pStyle w:val="ListBullet"/>
        <w:spacing w:after="80"/>
      </w:pPr>
      <w:r>
        <w:t>Migrazioni fino alla 113 verificate: KPI, governance fonti, contratti runtime, pgcrypto, contest a due foto, scrittura bingo globale e identita Web Push multi-agenzia.</w:t>
      </w:r>
    </w:p>
    <w:p>
      <w:pPr>
        <w:pStyle w:val="ListBullet"/>
        <w:spacing w:after="80"/>
      </w:pPr>
      <w:r>
        <w:t>Template AWS SAM valido; pagine pubbliche, manifest PWA e service worker disponibili in produzione.</w:t>
      </w:r>
    </w:p>
    <w:p>
      <w:pPr>
        <w:pStyle w:val="Heading1"/>
        <w:keepNext/>
      </w:pPr>
      <w:r>
        <w:t>3. Anomalie e impedimenti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00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ID</w:t>
            </w:r>
          </w:p>
        </w:tc>
        <w:tc>
          <w:tcPr>
            <w:tcW w:type="dxa" w:w="100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Severita</w:t>
            </w:r>
          </w:p>
        </w:tc>
        <w:tc>
          <w:tcPr>
            <w:tcW w:type="dxa" w:w="144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Tipo</w:t>
            </w:r>
          </w:p>
        </w:tc>
        <w:tc>
          <w:tcPr>
            <w:tcW w:type="dxa" w:w="360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Descrizione e impatto</w:t>
            </w:r>
          </w:p>
        </w:tc>
        <w:tc>
          <w:tcPr>
            <w:tcW w:type="dxa" w:w="3744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Azione raccomandata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DEF-001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Chiusa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Applicazione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Il proxy intercettava le API protette e restituiva 307 HTML. Corretto escludendo tutte le route /api dal redirect di pagina.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Regressione automatica e verifica runtime JSON 401 superate.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BLK-001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Alta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Ambiente test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La DATABASE_URL scaricata da Vercel e protetta da placeholder e non e risolvibile dai processi locali. Le suite che richiedono esclusivamente tale URL non possono avviarsi.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Fornire una URL pooled dedicata al ruolo smf_app nell'ambiente di collaudo locale, distinta dalla connessione owner.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BLK-002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Media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Fixture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Quiz, missioni e giochi sono verificati; mancano fixture media per bingo e contest fotografico con valutazione AI.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Creare asset R2 sintetici e una partenza versionata con bingo e contest.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BLK-003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Media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Integrazioni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R2/SQS/Bedrock non sono stati invocati: credenziali R2 e coda di collaudo non sono esposte localmente.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Predisporre risorse sandbox e budget massimo per test AI/documentali.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BLK-004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Media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Browser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I tre ruoli sono stati verificati in lettura; mancano ancora scenari mutativi distruttivi completi su utenze e dati sintetici dedicati.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Preparare un tenant sintetico eliminabile per completare le mutazioni UI senza impattare dati reali.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BLK-005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Bassa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Dispositivo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Installazione PWA, modalita aereo, push e safe-area non sono verificabili senza smartphone reale.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Eseguire matrice iOS Safari e Android Chrome su almeno due dispositivi.</w:t>
            </w:r>
          </w:p>
        </w:tc>
      </w:tr>
      <w:tr>
        <w:tc>
          <w:tcPr>
            <w:tcW w:type="dxa" w:w="1872"/>
          </w:tcPr>
          <w:p>
            <w:r>
              <w:t>DEF-002</w:t>
            </w:r>
          </w:p>
        </w:tc>
        <w:tc>
          <w:tcPr>
            <w:tcW w:type="dxa" w:w="1872"/>
          </w:tcPr>
          <w:p>
            <w:r>
              <w:t>Chiusa</w:t>
            </w:r>
          </w:p>
        </w:tc>
        <w:tc>
          <w:tcPr>
            <w:tcW w:type="dxa" w:w="1872"/>
          </w:tcPr>
          <w:p>
            <w:r>
              <w:t>PWA offline</w:t>
            </w:r>
          </w:p>
        </w:tc>
        <w:tc>
          <w:tcPr>
            <w:tcW w:type="dxa" w:w="1872"/>
          </w:tcPr>
          <w:p>
            <w:r>
              <w:t>URL relativi non normalizzati e documenti salvati in una cache diversa da quella consultata offline.</w:t>
            </w:r>
          </w:p>
        </w:tc>
        <w:tc>
          <w:tcPr>
            <w:tcW w:type="dxa" w:w="1872"/>
          </w:tcPr>
          <w:p>
            <w:r>
              <w:t>Normalizzazione rispetto all'origine, cache media coerente e acceptance offline superata.</w:t>
            </w:r>
          </w:p>
        </w:tc>
      </w:tr>
      <w:tr>
        <w:tc>
          <w:tcPr>
            <w:tcW w:type="dxa" w:w="1872"/>
          </w:tcPr>
          <w:p>
            <w:r>
              <w:t>DEF-003</w:t>
            </w:r>
          </w:p>
        </w:tc>
        <w:tc>
          <w:tcPr>
            <w:tcW w:type="dxa" w:w="1872"/>
          </w:tcPr>
          <w:p>
            <w:r>
              <w:t>Chiusa</w:t>
            </w:r>
          </w:p>
        </w:tc>
        <w:tc>
          <w:tcPr>
            <w:tcW w:type="dxa" w:w="1872"/>
          </w:tcPr>
          <w:p>
            <w:r>
              <w:t>Web Push</w:t>
            </w:r>
          </w:p>
        </w:tc>
        <w:tc>
          <w:tcPr>
            <w:tcW w:type="dxa" w:w="1872"/>
          </w:tcPr>
          <w:p>
            <w:r>
              <w:t>La funzione di sottoscrizione assegnava il record del resolver Cognito a un UUID e falliva in produzione.</w:t>
            </w:r>
          </w:p>
        </w:tc>
        <w:tc>
          <w:tcPr>
            <w:tcW w:type="dxa" w:w="1872"/>
          </w:tcPr>
          <w:p>
            <w:r>
              <w:t>Migrazione 113 applicata; identita Cognito diretta, upsert multi-agenzia e acceptance con rollback superata.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Matrice dei comandi eseguiti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3384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Comando / controllo</w:t>
            </w:r>
          </w:p>
        </w:tc>
        <w:tc>
          <w:tcPr>
            <w:tcW w:type="dxa" w:w="1512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Esito</w:t>
            </w:r>
          </w:p>
        </w:tc>
        <w:tc>
          <w:tcPr>
            <w:tcW w:type="dxa" w:w="1656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Durata / ampiezza</w:t>
            </w:r>
          </w:p>
        </w:tc>
        <w:tc>
          <w:tcPr>
            <w:tcW w:type="dxa" w:w="280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Evidenza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acceptance:v3:agency-access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4.4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acceptance:v3:agency-overview-read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acceptance:v3:agency-owner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3.6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acceptance:v3:gamification-write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2.8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acceptance:v3:participant-provisioning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acceptance:v3:superadmin-mutations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acceptance:v3:trip-reference-agency-deletion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4.9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acceptance:v3:write-cutover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smoke:normalized-document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Rieseguito fuori sandbox: DOCX normalizzato valido (14.340 byte).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smoke:r2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smoke:superadmin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smoke:travel-catalog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smoke:v3:agency-access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2.8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smoke:v3:agency-analytics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3.4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smoke:v3:agency-deletion-e2e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smoke:v3:chat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2.9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smoke:v3:consolidated-paths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smoke:v3:expenses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4.5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smoke:v3:gamification-read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smoke:v3:identity-auth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smoke:v3:invitation-auth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smoke:v3:journey-management-read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smoke:v3:legacy-media-auth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smoke:v3:media-download-auth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smoke:v3:media-mutations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smoke:v3:operational-read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smoke:v3:participant-provisioning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smoke:v3:superadmin-mutations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smoke:v3:superadmin-read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smoke:v3:travel-catalog-read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smoke:v3:traveler-api-auth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smoke:v3:traveler-scope-read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db:migrate:v3:web-push:dry-run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db:migrate:v3:scheduled-push:dry-run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db:migrate:v3:chat:dry-run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db:migrate:v3:minor-consent:dry-run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2.7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db:migrate:v3:photo-evidence-limit:dry-run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db:migrate:v3:photo-contest-lifecycle:dry-run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db:migrate:v3:expense-shares-grants:dry-run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db:migrate:v3:impersonation-audit:dry-run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db:migrate:v3:impersonation-revalidation:dry-run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db:migrate:v3:agency-analytics:dry-run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aws:validate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12,1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Template SAM valido; rieseguito con accesso ai metadati SAM locali.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test:plan-regressions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ripetibile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Proxy API, magic link, quiz, disruption, registro variazioni e governance fonti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smoke:v3:kpi-change-governance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6 KPI, 8 campi fonte, RLS forzata e privilegi minimi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build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~20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Next.js 16: compilazione, TypeScript e generazione di 43 pagine completate.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smoke:v3:expenses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Ruolo smf_app, inserimento spesa, ripartizione esatta delle quote e idempotenza client_operation_id verificati; nessun dato persistito.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smoke:v3:agency-analytics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Scrittura evento, lettura RLS, aggregazione, attori distinti e anti-replay verificati; nessun dato persistito.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acceptance:v3:participant-provisioning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gruppo e viaggiatore, riconciliazione V3, invito monouso e invisibilita dopo il consumo verificati; nessun dato persistito.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acceptance:v3:gamification-write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Scrittura mission, quiz, order game e word game con ruolo smf_app; grant quiz e rollback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db:migrate:v3:pgcrypto-digest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Migrazione 109 applicata: pgcrypto isolato nello schema extensions e bridge digest non invocabile direttamente dal runtime.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db:migrate:v3:photo-contest-limit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Migrazione 110 applicata: due foto massime nei dati, nelle attivita e nel vincolo participant_slot.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db:migrate:v3:photo-contest-gate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Migrazione 111 applicata: publish gate allineato al contratto di due foto; validazione V3 completa superata.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acceptance:v3:photo-contest-lifecycle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Due bozze, sostituzione, rifiuto terza foto, conferma, scoring strutturato, selezione migliore e chiusura temporale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acceptance:bedrock:photo-evaluation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 invocazioni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Nova Lite EU: missione fotografica e due foto contest valutate tramite Tool Use; 6.457 token input e 359 output.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db:migrate:v3:bingo-write-scope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Migrazione 112 applicata: il bingo globale e scrivibile da una giornata operativa senza ampliare lo scope tenant.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acceptance:v3:photo-evidence-attempts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Missione approvata blocca ulteriori foto; due rifiuti bingo consumano i tentativi e il terzo e negato.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acceptance:bingo-scoring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7 scenari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Calcolo condiviso verificato: ambo 5, terno 10, quaterna 20, cinquina 30 per riga, tombola +50, massimo 140.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HTTP pagine e PWA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6 endpoint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Login, accessibilita, manifest, service worker e redirect home conformi.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HTTP API anonime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5 endpoint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Auth, Analytics, chat, spese (POST) e trip-data rispondono JSON 401; DEF-001 chiusa.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Browser pubblico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 pagine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Login, recupero username e accessibilita caricati senza overflow nel viewport effettivo.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Browser autenticato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 ruoli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Superuser, agenzia e viaggiatore verificati in produzione; Analytics, programma, documenti, finanza, sfide, informazioni e frasario accessibili.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Quiz pubblicati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11 giornate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10 domande approvate per giornata e sblocco runtime verificato dopo consolidamento del resolver identita.</w:t>
            </w:r>
          </w:p>
        </w:tc>
      </w:tr>
      <w:tr>
        <w:tc>
          <w:tcPr>
            <w:tcW w:type="dxa" w:w="2340"/>
          </w:tcPr>
          <w:p>
            <w:r>
              <w:t>acceptance:travel-album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PDF 2 pagine</w:t>
            </w:r>
          </w:p>
        </w:tc>
        <w:tc>
          <w:tcPr>
            <w:tcW w:type="dxa" w:w="2340"/>
          </w:tcPr>
          <w:p>
            <w:r>
              <w:t>PDF valido, metadati, contenuti, foto scoped al gruppo, testo estratto e rendering PNG verificati.</w:t>
            </w:r>
          </w:p>
        </w:tc>
      </w:tr>
      <w:tr>
        <w:tc>
          <w:tcPr>
            <w:tcW w:type="dxa" w:w="2340"/>
          </w:tcPr>
          <w:p>
            <w:r>
              <w:t>acceptance:pwa-offline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3 risorse + logout</w:t>
            </w:r>
          </w:p>
        </w:tc>
        <w:tc>
          <w:tcPr>
            <w:tcW w:type="dxa" w:w="2340"/>
          </w:tcPr>
          <w:p>
            <w:r>
              <w:t>Programma, JSON viaggio e documento consultati senza rete; cache private cancellate al logout.</w:t>
            </w:r>
          </w:p>
        </w:tc>
      </w:tr>
      <w:tr>
        <w:tc>
          <w:tcPr>
            <w:tcW w:type="dxa" w:w="2340"/>
          </w:tcPr>
          <w:p>
            <w:r>
              <w:t>acceptance:pwa-installability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9 immagini, 3 shortcut</w:t>
            </w:r>
          </w:p>
        </w:tc>
        <w:tc>
          <w:tcPr>
            <w:tcW w:type="dxa" w:w="2340"/>
          </w:tcPr>
          <w:p>
            <w:r>
              <w:t>Manifest, dimensioni asset, prompt Android, guida iOS, registrazione SW e aggiornamenti verificati.</w:t>
            </w:r>
          </w:p>
        </w:tc>
      </w:tr>
      <w:tr>
        <w:tc>
          <w:tcPr>
            <w:tcW w:type="dxa" w:w="2340"/>
          </w:tcPr>
          <w:p>
            <w:r>
              <w:t>db:migrate:v3:web-push-identity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Migrazione 113</w:t>
            </w:r>
          </w:p>
        </w:tc>
        <w:tc>
          <w:tcPr>
            <w:tcW w:type="dxa" w:w="2340"/>
          </w:tcPr>
          <w:p>
            <w:r>
              <w:t>Dry-run, applicazione e gate runtime/multi-agenzia superati.</w:t>
            </w:r>
          </w:p>
        </w:tc>
      </w:tr>
      <w:tr>
        <w:tc>
          <w:tcPr>
            <w:tcW w:type="dxa" w:w="2340"/>
          </w:tcPr>
          <w:p>
            <w:r>
              <w:t>acceptance:v3:web-push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Rollback</w:t>
            </w:r>
          </w:p>
        </w:tc>
        <w:tc>
          <w:tcPr>
            <w:tcW w:type="dxa" w:w="2340"/>
          </w:tcPr>
          <w:p>
            <w:r>
              <w:t>Upsert idempotente, scope partenza/gruppo e revoca verificati.</w:t>
            </w:r>
          </w:p>
        </w:tc>
      </w:tr>
      <w:tr>
        <w:tc>
          <w:tcPr>
            <w:tcW w:type="dxa" w:w="2340"/>
          </w:tcPr>
          <w:p>
            <w:r>
              <w:t>acceptance:pwa-push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Service worker</w:t>
            </w:r>
          </w:p>
        </w:tc>
        <w:tc>
          <w:tcPr>
            <w:tcW w:type="dxa" w:w="2340"/>
          </w:tcPr>
          <w:p>
            <w:r>
              <w:t>Notifica background, deep-link, focus finestra e richiesta permesso verificati.</w:t>
            </w:r>
          </w:p>
        </w:tc>
      </w:tr>
    </w:tbl>
    <w:p>
      <w:pPr>
        <w:spacing w:after="40"/>
      </w:pP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keepNext/>
      </w:pPr>
      <w:r>
        <w:t>5. Matrice completa dei 107 casi d'uso</w:t>
      </w:r>
    </w:p>
    <w:p>
      <w:r>
        <w:t>Ogni caso e stato valutato. Gli esiti parziali e bloccati indicano precisamente quale evidenza manca; non sono stati trasformati artificialmente in esiti positivi.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3600"/>
        <w:gridCol w:w="3600"/>
        <w:gridCol w:w="3600"/>
      </w:tblGrid>
      <w:tr>
        <w:trPr>
          <w:tblHeader w:val="true"/>
        </w:trPr>
        <w:tc>
          <w:tcPr>
            <w:tcW w:type="dxa" w:w="144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ID</w:t>
            </w:r>
          </w:p>
        </w:tc>
        <w:tc>
          <w:tcPr>
            <w:tcW w:type="dxa" w:w="4032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Caso d'uso</w:t>
            </w:r>
          </w:p>
        </w:tc>
        <w:tc>
          <w:tcPr>
            <w:tcW w:type="dxa" w:w="1656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Esito</w:t>
            </w:r>
          </w:p>
        </w:tc>
        <w:tc>
          <w:tcPr>
            <w:tcW w:type="dxa" w:w="720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Evidenza / limite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Accesso con username e password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Invito personale e attivazione account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Recupero password per username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Logout, rinnovo e blocco delle sessioni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agency-access/owner con rollback; regressioni autenticazione superate.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Controllo disponibilità username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agency-access/owner con rollback; regressioni autenticazione superate.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Login come utente per assistenza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agency-access/owner con rollback; regressioni autenticazione superate.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Cruscotto superuser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schema validi; verifica UI autenticata non disponibile nella sessione browser.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agenzia e primo responsabile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Modifica dati agenzia e contatti responsabile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Branding white-label dell’agenzia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schema validi; verifica UI autenticata non disponibile nella sessione browser.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Sospensione e riattivazione agenzia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Sostituzione del responsabile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Cancellazione asincrona dell’agenzia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UC-AGY-01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Cruscotto agenzia e catalogo viaggi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componenti compilano; operazioni mutate non eseguite sui dati reali.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UC-AGY-02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agenti dell’agenzia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componenti compilano; operazioni mutate non eseguite sui dati reali.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UC-AGY-03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Chat operativa agenzia-gruppo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chat operativo superato con isolamento tenant.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viaggio da preventivo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Elaborazione asincrona OCR e AI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Interpretazione del programma e dati commerciali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Revisione umana della bozza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Salvataggio e ripresa della revisione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Pubblicazione controllata del programma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Cataloghi condivisi di paesi, città, siti e hotel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Generazione informazioni utili per paese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Generazione frasario locale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Generazione quiz, missioni, bingo, giochi e contest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Download preventivo originale e normalizzato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Modifica del programma pubblicato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variazioni operative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Eliminazione viaggio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cancellazione viaggio/agenzia e vincoli referenziali superata.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ed eliminazione gruppi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Inserimento e invito viaggiatore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Provisioning gruppo e viaggiatore superato transazionalmente.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Rimozione viaggiatore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Assegnazione e cessione capogruppo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Partecipazione individuale ai giochi di viaggio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Privacy e consenso immagini per minori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Documenti di viaggio per giornata e gruppo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Download e consultazione documenti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Cancellazione documenti da parte dell’agenzia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Biglietti collegati alle attività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Home e navigazione mobile del viaggio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Programma giornaliero ordinato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Mappa operativa del giorno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Informazioni utili e orologi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Frasario di viaggio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Meteo e contesto del giorno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SOS e duty of care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Registrazione spesa di gruppo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Totale speso in euro e totali per valuta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Prelievi e cambi valuta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Eliminazione spese, prelievi e cambi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Pareggio conti del gruppo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Inserimenti finanziari offline e sincronizzazione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Backend finanziario verificato; offline-online browser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Missioni giornaliere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Massimo due tentativi per missione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Bingo in stile tombola napoletana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Punteggi ambo, terno, quaterna, cinquina e tombola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Quiz giornalieri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Giochi semplici a tema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Contest fotografico: selezione e conferma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Valutazione AI e scelta della foto migliore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Chiusura contest e classifiche temporali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 e codice verificati; scenario end-to-end con contenuti pubblicati non disponibile.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Classifiche e profilo Sfide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 e codice verificati; scenario end-to-end con contenuti pubblicati non disponibile.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UC-MEM-01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Ricordi e diario di viaggio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generatore presenti e compilati; prova utente completa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UC-MEM-02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Album finale PDF e condivisione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SUPERATO</w:t>
            </w:r>
          </w:p>
        </w:tc>
        <w:tc>
          <w:tcPr>
            <w:tcW w:type="dxa" w:w="7200"/>
            <w:vAlign w:val="top"/>
          </w:tcPr>
          <w:p>
            <w:r>
              <w:t>Generazione PDF e download verificati con test ripetibile; foto limitate al gruppo del viaggiatore, metadati e contenuti corretti, rendering senza sovrapposizioni. Condivisione Web Share con fallback download presente.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UC-MEM-03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Feedback sul programma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generatore presenti e compilati; prova utente completa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Installazione PWA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PARZIALE</w:t>
            </w:r>
          </w:p>
        </w:tc>
        <w:tc>
          <w:tcPr>
            <w:tcW w:type="dxa" w:w="7200"/>
            <w:vAlign w:val="top"/>
          </w:tcPr>
          <w:p>
            <w:r>
              <w:t>Installabilita verificata automaticamente: manifest standalone portrait, icone maskable, Apple touch icon, splash iOS, tre shortcut, prompt Android e istruzioni Safari. Resta la prova fisica iOS/Android.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Consultazione offline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PARZIALE</w:t>
            </w:r>
          </w:p>
        </w:tc>
        <w:tc>
          <w:tcPr>
            <w:tcW w:type="dxa" w:w="7200"/>
            <w:vAlign w:val="top"/>
          </w:tcPr>
          <w:p>
            <w:r>
              <w:t>Service worker verificato con acceptance ripetibile: download esplicito, programma, dati e documenti disponibili offline, cache private eliminate al logout. Resta il collaudo fisico su iOS e Android.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Aggiornamento della PWA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Manifest, service worker e asset HTTP 200; prova fisica su dispositivo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Notifiche push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PARZIALE</w:t>
            </w:r>
          </w:p>
        </w:tc>
        <w:tc>
          <w:tcPr>
            <w:tcW w:type="dxa" w:w="7200"/>
            <w:vAlign w:val="top"/>
          </w:tcPr>
          <w:p>
            <w:r>
              <w:t>Contratto completo verificato: permesso, subscription Cognito multi-agenzia, idempotenza, scope partenza/gruppo, revoca 404/410, notifica background e deep-link. Resta la ricezione fisica su iOS/Android.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Promemoria programmati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smartphone/sessione autenticata, installazione, modalita aereo o permesso push reale.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Accessibilità e preferenze inclusive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Manifest, service worker e asset HTTP 200; prova fisica su dispositivo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Pagina di login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pubblico verificato in produzione tramite browser e HTTP 200.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Attivazione e recupero account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pubblico verificato in produzione tramite browser e HTTP 200.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Cruscotto superuser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agenzie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Elenco utenti e login-come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Dashboard agenzia ed elenco viaggi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agenti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Import e revisione preventivo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Programma pubblicato modificabile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Gruppi e viaggiatori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Documenti del viaggio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Chat operativa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Home e programma viaggiatore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Informazioni, frasi, documenti e SOS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Spese e cassa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Sfide e classifiche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PWA, installazione e accessibilità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Accesso rapido da invito personale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Governance dei contenuti paese sensibili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Registro variazioni e presa visione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Definizioni, formule e freschezza dei KPI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Aprire la dashboard Analytics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Filtrare per periodo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Filtrare per partenza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il funnel di adozione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Registrare una consultazione programma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Registrare l'uso documenti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Misurare richieste di assistenza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Misurare engagement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Analizzare feedback per tappa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Gestire assenza di dati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isolamento tenant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resilienza tracking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idempotenza e anti-replay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accessibilita e responsive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</w:tbl>
    <w:p>
      <w:pPr>
        <w:spacing w:after="40"/>
      </w:pPr>
    </w:p>
    <w:p>
      <w:pPr>
        <w:sectPr>
          <w:pgSz w:w="15840" w:h="12240" w:orient="landscape"/>
          <w:pgMar w:top="936" w:right="720" w:bottom="936" w:left="720" w:header="432" w:footer="432" w:gutter="0"/>
          <w:cols w:space="720"/>
          <w:docGrid w:linePitch="360"/>
        </w:sectPr>
      </w:pPr>
    </w:p>
    <w:p>
      <w:pPr>
        <w:pStyle w:val="Heading1"/>
        <w:keepNext/>
      </w:pPr>
      <w:r>
        <w:t>6. Piano di completamento del collaudo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144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Priorita</w:t>
            </w:r>
          </w:p>
        </w:tc>
        <w:tc>
          <w:tcPr>
            <w:tcW w:type="dxa" w:w="792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Attivita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CHIUSO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DEF-001 corretto; test automatico e runtime JSON 401 superati.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P0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Configurare DATABASE_URL_TEST con ruolo smf_app e rieseguire le suite che richiedono una connessione runtime locale.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P1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Creare fixture sintetiche stabili per gamification, documenti, viaggio pubblicato e due tenant.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CHIUSO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Eseguiti i percorsi autenticati in lettura per superuser, responsabile/agente e viaggiatore.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P1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Eseguire flusso R2-SQS-Bedrock su risorse sandbox con verifica record Neon e cost cap.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P2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Eseguire collaudo fisico PWA su iOS e Android: installazione, offline, sync e push.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7. Conclusione</w:t>
      </w:r>
    </w:p>
    <w:p>
      <w:r>
        <w:t>La baseline tecnica e stabile e le nuove funzionalita risultano integrate senza regressioni di build o schema. Sono dimostrati album PDF e pacchetto offline, incluso l'isolamento e la cancellazione delle cache private. Restano da completare i flussi infrastrutturali end-to-end e il collaudo PWA su dispositivi mobili reali.</w:t>
      </w:r>
    </w:p>
    <w:sectPr w:rsidR="00FC693F" w:rsidRPr="0006063C" w:rsidSect="00034616">
      <w:type w:val="continuous"/>
      <w:pgSz w:w="12240" w:h="15840" w:orient="landscape"/>
      <w:pgMar w:top="1440" w:right="1440" w:bottom="1440" w:left="144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>Uso interno - 30 agosto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E6B73"/>
        <w:sz w:val="18"/>
      </w:rPr>
      <w:t>SMF Travel | Rapporto di collaudo completo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 w:val="0"/>
      <w:color w:val="12313B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SMF Travel - Rapporto completo di esecuzione dei test</dc:title>
  <dc:subject>Esiti, anomalie, blocchi e copertura dei 107 casi d'uso</dc:subject>
  <dc:creator>SMF Travel Quality Engineering</dc:creator>
  <cp:keywords>SMF Travel, test, casi d'uso, collaudo, Analytics, PWA, Neon, Vercel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