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47 casi superati, 60 parzialmente coperti, 0 bloccati da prerequisiti esterni e 0 casi completamente non superati.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r>
              <w:t>46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r>
              <w:t>61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115 verificate: KPI, governance fonti, contratti runtime, pgcrypto, contest a due foto, bingo globale, Web Push multi-agenzia e pianificazione timezone-aware.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  <w:tr>
        <w:tc>
          <w:tcPr>
            <w:tcW w:type="dxa" w:w="1872"/>
          </w:tcPr>
          <w:p>
            <w:r>
              <w:t>DEF-002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PWA offline</w:t>
            </w:r>
          </w:p>
        </w:tc>
        <w:tc>
          <w:tcPr>
            <w:tcW w:type="dxa" w:w="1872"/>
          </w:tcPr>
          <w:p>
            <w:r>
              <w:t>URL relativi non normalizzati e documenti salvati in una cache diversa da quella consultata offline.</w:t>
            </w:r>
          </w:p>
        </w:tc>
        <w:tc>
          <w:tcPr>
            <w:tcW w:type="dxa" w:w="1872"/>
          </w:tcPr>
          <w:p>
            <w:r>
              <w:t>Normalizzazione rispetto all'origine, cache media coerente e acceptance offline superata.</w:t>
            </w:r>
          </w:p>
        </w:tc>
      </w:tr>
      <w:tr>
        <w:tc>
          <w:tcPr>
            <w:tcW w:type="dxa" w:w="1872"/>
          </w:tcPr>
          <w:p>
            <w:r>
              <w:t>DEF-003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Web Push</w:t>
            </w:r>
          </w:p>
        </w:tc>
        <w:tc>
          <w:tcPr>
            <w:tcW w:type="dxa" w:w="1872"/>
          </w:tcPr>
          <w:p>
            <w:r>
              <w:t>La funzione di sottoscrizione assegnava il record del resolver Cognito a un UUID e falliva in produzione.</w:t>
            </w:r>
          </w:p>
        </w:tc>
        <w:tc>
          <w:tcPr>
            <w:tcW w:type="dxa" w:w="1872"/>
          </w:tcPr>
          <w:p>
            <w:r>
              <w:t>Migrazione 113 applicata; identita Cognito diretta, upsert multi-agenzia e acceptance con rollback superata.</w:t>
            </w:r>
          </w:p>
        </w:tc>
      </w:tr>
      <w:tr>
        <w:tc>
          <w:tcPr>
            <w:tcW w:type="dxa" w:w="1872"/>
          </w:tcPr>
          <w:p>
            <w:r>
              <w:t>DEF-004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Push schedulato</w:t>
            </w:r>
          </w:p>
        </w:tc>
        <w:tc>
          <w:tcPr>
            <w:tcW w:type="dxa" w:w="1872"/>
          </w:tcPr>
          <w:p>
            <w:r>
              <w:t>Il claim falliva per ambiguita PL/pgSQL sulla colonna departure_id.</w:t>
            </w:r>
          </w:p>
        </w:tc>
        <w:tc>
          <w:tcPr>
            <w:tcW w:type="dxa" w:w="1872"/>
          </w:tcPr>
          <w:p>
            <w:r>
              <w:t>Migrazione 114 con conflict constraint esplicito; acceptance superata.</w:t>
            </w:r>
          </w:p>
        </w:tc>
      </w:tr>
      <w:tr>
        <w:tc>
          <w:tcPr>
            <w:tcW w:type="dxa" w:w="1872"/>
          </w:tcPr>
          <w:p>
            <w:r>
              <w:t>DEF-005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Timezone</w:t>
            </w:r>
          </w:p>
        </w:tc>
        <w:tc>
          <w:tcPr>
            <w:tcW w:type="dxa" w:w="1872"/>
          </w:tcPr>
          <w:p>
            <w:r>
              <w:t>Reminder e quiz usavano date calcolate con timezone differenti vicino alla mezzanotte.</w:t>
            </w:r>
          </w:p>
        </w:tc>
        <w:tc>
          <w:tcPr>
            <w:tcW w:type="dxa" w:w="1872"/>
          </w:tcPr>
          <w:p>
            <w:r>
              <w:t>Migrazione 115: entrambi calcolati nel timezone della partenza.</w:t>
            </w:r>
          </w:p>
        </w:tc>
      </w:tr>
      <w:tr>
        <w:tc>
          <w:tcPr>
            <w:tcW w:type="dxa" w:w="1872"/>
          </w:tcPr>
          <w:p>
            <w:r>
              <w:t>DEF-006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Bedrock import</w:t>
            </w:r>
          </w:p>
        </w:tc>
        <w:tc>
          <w:tcPr>
            <w:tcW w:type="dxa" w:w="1872"/>
          </w:tcPr>
          <w:p>
            <w:r>
              <w:t>La Lambda richiedeva 12.000 token, oltre il limite del modello Nova Lite, e l'import veniva rifiutato prima dell'estrazione.</w:t>
            </w:r>
          </w:p>
        </w:tc>
        <w:tc>
          <w:tcPr>
            <w:tcW w:type="dxa" w:w="1872"/>
          </w:tcPr>
          <w:p>
            <w:r>
              <w:t>Cap difensivo a 9.999 token, configurazione IaC a 9.000 e deploy verificato in produzione.</w:t>
            </w:r>
          </w:p>
        </w:tc>
      </w:tr>
      <w:tr>
        <w:tc>
          <w:tcPr>
            <w:tcW w:type="dxa" w:w="1872"/>
          </w:tcPr>
          <w:p>
            <w:r>
              <w:t>DEF-007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Frasario</w:t>
            </w:r>
          </w:p>
        </w:tc>
        <w:tc>
          <w:tcPr>
            <w:tcW w:type="dxa" w:w="1872"/>
          </w:tcPr>
          <w:p>
            <w:r>
              <w:t>Le parafrasi delle traduzioni italiane causavano cinque rigetti consecutivi del contenuto Paese.</w:t>
            </w:r>
          </w:p>
        </w:tc>
        <w:tc>
          <w:tcPr>
            <w:tcW w:type="dxa" w:w="1872"/>
          </w:tcPr>
          <w:p>
            <w:r>
              <w:t>I 12 significati italiani sono ora enum nello schema Bedrock; acceptance Belgio superata.</w:t>
            </w:r>
          </w:p>
        </w:tc>
      </w:tr>
      <w:tr>
        <w:tc>
          <w:tcPr>
            <w:tcW w:type="dxa" w:w="1872"/>
          </w:tcPr>
          <w:p>
            <w:r>
              <w:t>DEF-008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Lambda packaging</w:t>
            </w:r>
          </w:p>
        </w:tc>
        <w:tc>
          <w:tcPr>
            <w:tcW w:type="dxa" w:w="1872"/>
          </w:tcPr>
          <w:p>
            <w:r>
              <w:t>Il bundle CommonJS trasformava sharp e perdeva import.meta.url, causando cold-start failure e allarme CloudWatch.</w:t>
            </w:r>
          </w:p>
        </w:tc>
        <w:tc>
          <w:tcPr>
            <w:tcW w:type="dxa" w:w="1872"/>
          </w:tcPr>
          <w:p>
            <w:r>
              <w:t>Rimossa la dipendenza nativa dal worker: foto normalizzate dal client e byte compatibili inviati direttamente a Bedrock.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db:migrate:v3:bingo-write-scope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112 applicata: il bingo globale e scrivibile da una giornata operativa senza ampliare lo scope tenant.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acceptance:v3:photo-evidence-attempts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Missione approvata blocca ulteriori foto; due rifiuti bingo consumano i tentativi e il terzo e negato.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acceptance:bingo-scoring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7 scenari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Calcolo condiviso verificato: ambo 5, terno 10, quaterna 20, cinquina 30 per riga, tombola +50, massimo 140.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  <w:tr>
        <w:tc>
          <w:tcPr>
            <w:tcW w:type="dxa" w:w="2340"/>
          </w:tcPr>
          <w:p>
            <w:r>
              <w:t>acceptance:travel-album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PDF 2 pagine</w:t>
            </w:r>
          </w:p>
        </w:tc>
        <w:tc>
          <w:tcPr>
            <w:tcW w:type="dxa" w:w="2340"/>
          </w:tcPr>
          <w:p>
            <w:r>
              <w:t>PDF valido, metadati, contenuti, foto scoped al gruppo, testo estratto e rendering PNG verificati.</w:t>
            </w:r>
          </w:p>
        </w:tc>
      </w:tr>
      <w:tr>
        <w:tc>
          <w:tcPr>
            <w:tcW w:type="dxa" w:w="2340"/>
          </w:tcPr>
          <w:p>
            <w:r>
              <w:t>acceptance:pwa-offline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risorse + logout</w:t>
            </w:r>
          </w:p>
        </w:tc>
        <w:tc>
          <w:tcPr>
            <w:tcW w:type="dxa" w:w="2340"/>
          </w:tcPr>
          <w:p>
            <w:r>
              <w:t>Programma, JSON viaggio e documento consultati senza rete; cache private cancellate al logout.</w:t>
            </w:r>
          </w:p>
        </w:tc>
      </w:tr>
      <w:tr>
        <w:tc>
          <w:tcPr>
            <w:tcW w:type="dxa" w:w="2340"/>
          </w:tcPr>
          <w:p>
            <w:r>
              <w:t>acceptance:pwa-installability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9 immagini, 3 shortcut</w:t>
            </w:r>
          </w:p>
        </w:tc>
        <w:tc>
          <w:tcPr>
            <w:tcW w:type="dxa" w:w="2340"/>
          </w:tcPr>
          <w:p>
            <w:r>
              <w:t>Manifest, dimensioni asset, prompt Android, guida iOS, registrazione SW e aggiornamenti verificati.</w:t>
            </w:r>
          </w:p>
        </w:tc>
      </w:tr>
      <w:tr>
        <w:tc>
          <w:tcPr>
            <w:tcW w:type="dxa" w:w="2340"/>
          </w:tcPr>
          <w:p>
            <w:r>
              <w:t>db:migrate:v3:web-push-identity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113</w:t>
            </w:r>
          </w:p>
        </w:tc>
        <w:tc>
          <w:tcPr>
            <w:tcW w:type="dxa" w:w="2340"/>
          </w:tcPr>
          <w:p>
            <w:r>
              <w:t>Dry-run, applicazione e gate runtime/multi-agenzia superati.</w:t>
            </w:r>
          </w:p>
        </w:tc>
      </w:tr>
      <w:tr>
        <w:tc>
          <w:tcPr>
            <w:tcW w:type="dxa" w:w="2340"/>
          </w:tcPr>
          <w:p>
            <w:r>
              <w:t>acceptance:v3:web-push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Upsert idempotente, scope partenza/gruppo e revoca verificati.</w:t>
            </w:r>
          </w:p>
        </w:tc>
      </w:tr>
      <w:tr>
        <w:tc>
          <w:tcPr>
            <w:tcW w:type="dxa" w:w="2340"/>
          </w:tcPr>
          <w:p>
            <w:r>
              <w:t>acceptance:pwa-push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Service worker</w:t>
            </w:r>
          </w:p>
        </w:tc>
        <w:tc>
          <w:tcPr>
            <w:tcW w:type="dxa" w:w="2340"/>
          </w:tcPr>
          <w:p>
            <w:r>
              <w:t>Notifica background, deep-link, focus finestra e richiesta permesso verificati.</w:t>
            </w:r>
          </w:p>
        </w:tc>
      </w:tr>
      <w:tr>
        <w:tc>
          <w:tcPr>
            <w:tcW w:type="dxa" w:w="2340"/>
          </w:tcPr>
          <w:p>
            <w:r>
              <w:t>db:migrate:v3:scheduled-push-claim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114</w:t>
            </w:r>
          </w:p>
        </w:tc>
        <w:tc>
          <w:tcPr>
            <w:tcW w:type="dxa" w:w="2340"/>
          </w:tcPr>
          <w:p>
            <w:r>
              <w:t>Claim PL/pgSQL corretto e applicato.</w:t>
            </w:r>
          </w:p>
        </w:tc>
      </w:tr>
      <w:tr>
        <w:tc>
          <w:tcPr>
            <w:tcW w:type="dxa" w:w="2340"/>
          </w:tcPr>
          <w:p>
            <w:r>
              <w:t>db:migrate:v3:scheduled-push-local-date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115</w:t>
            </w:r>
          </w:p>
        </w:tc>
        <w:tc>
          <w:tcPr>
            <w:tcW w:type="dxa" w:w="2340"/>
          </w:tcPr>
          <w:p>
            <w:r>
              <w:t>Data locale della partenza applicata a reminder e quiz.</w:t>
            </w:r>
          </w:p>
        </w:tc>
      </w:tr>
      <w:tr>
        <w:tc>
          <w:tcPr>
            <w:tcW w:type="dxa" w:w="2340"/>
          </w:tcPr>
          <w:p>
            <w:r>
              <w:t>acceptance:v3:scheduled-push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Reminder, quiz, idempotenza, retry e audit consegna verificati.</w:t>
            </w:r>
          </w:p>
        </w:tc>
      </w:tr>
      <w:tr>
        <w:tc>
          <w:tcPr>
            <w:tcW w:type="dxa" w:w="2340"/>
          </w:tcPr>
          <w:p>
            <w:r>
              <w:t>acceptance:bedrock:travel-import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Nova 2 Lite reale</w:t>
            </w:r>
          </w:p>
        </w:tc>
        <w:tc>
          <w:tcPr>
            <w:tcW w:type="dxa" w:w="2340"/>
          </w:tcPr>
          <w:p>
            <w:r>
              <w:t>2 giornate, 4 visite, cena inclusa, hotel, dati commerciali e DOCX round-trip verificati.</w:t>
            </w:r>
          </w:p>
        </w:tc>
      </w:tr>
      <w:tr>
        <w:tc>
          <w:tcPr>
            <w:tcW w:type="dxa" w:w="2340"/>
          </w:tcPr>
          <w:p>
            <w:r>
              <w:t>acceptance:bedrock:reference-content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target reali</w:t>
            </w:r>
          </w:p>
        </w:tc>
        <w:tc>
          <w:tcPr>
            <w:tcW w:type="dxa" w:w="2340"/>
          </w:tcPr>
          <w:p>
            <w:r>
              <w:t>Belgio: 11 info, 12 frasi e 15 bingo; Bruxelles: 10 quiz; Grand-Place: 7 quiz; missioni, giochi e contest validati.</w:t>
            </w:r>
          </w:p>
        </w:tc>
      </w:tr>
      <w:tr>
        <w:tc>
          <w:tcPr>
            <w:tcW w:type="dxa" w:w="2340"/>
          </w:tcPr>
          <w:p>
            <w:r>
              <w:t>acceptance:v3:write-cutover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Aggiornamento atomico, nuova partenza con 11 giorni/75 attività/12 soggiorni e 207 contenuti di riferimento verificati.</w:t>
            </w:r>
          </w:p>
        </w:tc>
      </w:tr>
      <w:tr>
        <w:tc>
          <w:tcPr>
            <w:tcW w:type="dxa" w:w="2340"/>
          </w:tcPr>
          <w:p>
            <w:r>
              <w:t>AWS stack verification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eu-central-1</w:t>
            </w:r>
          </w:p>
        </w:tc>
        <w:tc>
          <w:tcPr>
            <w:tcW w:type="dxa" w:w="2340"/>
          </w:tcPr>
          <w:p>
            <w:r>
              <w:t>Account 899505639714; Lambda attiva; SQS 0 messaggi; DLQ 0; fair concurrency 10; SNS collegato agli allarmi.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Parsing reale Nova 2 Lite e DOCX normalizzato verificati con fixture Belgio. Restano il caricamento browser e il round-trip R2 presigned su sessione utente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SQS, Lambda, DLQ, concorrenza, Textract completion queue e fallback OCR verificati strutturalmente; resta una scansione reale da sottoporre a Textract end-to-end.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Pubblicazione e materializzazione transazionale verificate con rollback: 11 giornate, 75 attività, 12 pernottamenti e contenuti collegati.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Bedrock reale: tutte le 11 categorie Belgio validate, incluse fonti e contatti governati.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Frasario Bedrock reale: lingua ufficiale dinamica e 12 significati italiani vincolati dallo schema.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reale validata: bingo 15, quiz città 10, quiz sito 7, missioni 5, giochi 3 e contest 2.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PDF e download verificati con test ripetibile; foto limitate al gruppo del viaggiatore, metadati e contenuti corretti, rendering senza sovrapposizioni. Condivisione Web Share con fallback download presente.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Installabilita verificata automaticamente: manifest standalone portrait, icone maskable, Apple touch icon, splash iOS, tre shortcut, prompt Android e istruzioni Safari. Resta la prova fisica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Service worker verificato con acceptance ripetibile: download esplicito, programma, dati e documenti disponibili offline, cache private eliminate al logout. Resta il collaudo fisico su iOS e 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Contratto completo verificato: permesso, subscription Cognito multi-agenzia, idempotenza, scope partenza/gruppo, revoca 404/410, notifica background e deep-link. Resta la ricezione fisica su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Verificato su Android/Chrome e PWA installata: consenso notifiche, registrazione e rinnovo della sottoscrizione FCM, revoca automatica degli endpoint invalidi dopo rotazione VAPID, consegna con app chiusa/in background, scheduler AWS ogni cinque minuti timezone-aware, idempotenza e audit. Notifica finale ricevuta con logo Golden Terra Travel corretto.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Sono dimostrati album PDF e pacchetto offline, incluso l'isolamento e la cancellazione delle cache private. Restano da completare i flussi infrastrutturali end-to-end e il collaudo PWA su dispositivi mobili reali.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