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33 casi superati, 54 parzialmente coperti, 20 bloccati da prerequisiti esterni e 0 casi completamente non superati. Le suite strutturali, la build, il modello dati, le migrazioni fino alla 103, Analytics, chat, gestione spese e governance contenuti risultano conformi.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33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54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20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42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Migrazione 103 verificata: KPI versionati, registro variazioni, ricevute di lettura e governance delle fonti.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Manca una DATABASE_URL del ruolo smf_app. Diciotto suite legacy non possono verificare RLS senza usare impropriamente la connessione owner.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fixture gamification pubblicata non e disponibile; acceptance quiz/sfide non parte.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una partenza sintetica versionata con giochi, quiz, contest e due viaggiatori.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Non sono disponibili credenziali di collaudo per i tre ruoli applicativi.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utenze test superuser, agenzia e viaggiatore e una sessione dedicata.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acceptance:v3:write-cutover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dati o sessione autenticata esterna non disponibili nell'ambiente di collaudo.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18 suite bloccate.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test autenticati nei tre ruoli: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Il prodotto non puo tuttavia essere dichiarato collaudato al 100% sui 107 casi finche non vengono forniti ruolo DB runtime, fixture controllate, sessioni browser dedicate e dispositivi mobili reali. L'unico difetto applicativo riproducibile emerso in questa esecuzione, DEF-001, e stato corretto e ritestato.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103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