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Rapporto completo di esecuzione dei test</w:t>
      </w:r>
    </w:p>
    <w:p>
      <w:pPr>
        <w:spacing w:after="320"/>
      </w:pPr>
      <w:r>
        <w:rPr>
          <w:color w:val="5E6B73"/>
          <w:sz w:val="26"/>
        </w:rPr>
        <w:t>SMF Travel - copertura dei casi d'uso funzionali, visuali e Analytics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37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Campo</w:t>
            </w:r>
          </w:p>
        </w:tc>
        <w:tc>
          <w:tcPr>
            <w:tcW w:type="dxa" w:w="69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Valore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Data esecuzione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30 agosto 2026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locale Next.js + Neon produzione tramite connessione owner di migrazione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Sorgente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SMF_Travel_Casi_Uso_Completi_v1.1.docx, inclusi governance, onboarding e Analytics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Casi censiti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107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Metodo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Suite automatiche, dry-run DB, smoke HTTP, browser pubblico e verifica statica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Esito esecutivo</w:t>
      </w:r>
    </w:p>
    <w:p>
      <w:r>
        <w:t>Sono stati censiti 107 casi d'uso. L'esecuzione ha prodotto 39 casi superati, 56 parzialmente coperti, 12 bloccati da prerequisiti esterni e 0 casi completamente non superati. Le suite strutturali, la build, il modello dati, le migrazioni fino alla 112, Analytics, chat, gestione spese e governance contenuti risultano conformi.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08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08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Casi</w:t>
            </w:r>
          </w:p>
        </w:tc>
        <w:tc>
          <w:tcPr>
            <w:tcW w:type="dxa" w:w="619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Interpretazione</w:t>
            </w:r>
          </w:p>
        </w:tc>
      </w:tr>
      <w:tr>
        <w:tc>
          <w:tcPr>
            <w:tcW w:type="dxa" w:w="2088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39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Flusso o contratto dimostrato da esecuzione ripetibile.</w:t>
            </w:r>
          </w:p>
        </w:tc>
      </w:tr>
      <w:tr>
        <w:tc>
          <w:tcPr>
            <w:tcW w:type="dxa" w:w="2088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56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Copertura tecnica positiva, ma manca almeno una prova UI/integrata.</w:t>
            </w:r>
          </w:p>
        </w:tc>
      </w:tr>
      <w:tr>
        <w:tc>
          <w:tcPr>
            <w:tcW w:type="dxa" w:w="2088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12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Prerequisito esterno assente; non equivale a difetto.</w:t>
            </w:r>
          </w:p>
        </w:tc>
      </w:tr>
      <w:tr>
        <w:tc>
          <w:tcPr>
            <w:tcW w:type="dxa" w:w="2088"/>
            <w:vAlign w:val="top"/>
            <w:shd w:fill="FCE4E4"/>
          </w:tcPr>
          <w:p>
            <w:pPr>
              <w:spacing w:after="40"/>
            </w:pPr>
            <w:r>
              <w:rPr>
                <w:sz w:val="16"/>
              </w:rPr>
              <w:t>NON SUPERATO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Comportamento osservato contrario al criterio del caso.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Evidenze tecniche principali</w:t>
      </w:r>
    </w:p>
    <w:p>
      <w:pPr>
        <w:pStyle w:val="ListBullet"/>
        <w:spacing w:after="80"/>
      </w:pPr>
      <w:r>
        <w:t>Quality guard, TypeScript e build Next.js di produzione superati; 43 pagine generate.</w:t>
      </w:r>
    </w:p>
    <w:p>
      <w:pPr>
        <w:pStyle w:val="ListBullet"/>
        <w:spacing w:after="80"/>
      </w:pPr>
      <w:r>
        <w:t>Neon validato: 74 tabelle, 60 con RLS, nessun indice invalido, nessun vincolo non validato e nessuna tabella tenant senza indice agency_id leading.</w:t>
      </w:r>
    </w:p>
    <w:p>
      <w:pPr>
        <w:pStyle w:val="ListBullet"/>
        <w:spacing w:after="80"/>
      </w:pPr>
      <w:r>
        <w:t>Smoke Analytics superato con rollback: registrazione, lettura RLS, attore distinto e idempotenza.</w:t>
      </w:r>
    </w:p>
    <w:p>
      <w:pPr>
        <w:pStyle w:val="ListBullet"/>
        <w:spacing w:after="80"/>
      </w:pPr>
      <w:r>
        <w:t>Smoke spese, chat, accesso agenzia e acceptance su owner, provisioning e cancellazione superati.</w:t>
      </w:r>
    </w:p>
    <w:p>
      <w:pPr>
        <w:pStyle w:val="ListBullet"/>
        <w:spacing w:after="80"/>
      </w:pPr>
      <w:r>
        <w:t>Migrazioni fino alla 112 verificate: KPI, governance fonti, contratti runtime, pgcrypto, contest a due foto e scrittura bingo globale.</w:t>
      </w:r>
    </w:p>
    <w:p>
      <w:pPr>
        <w:pStyle w:val="ListBullet"/>
        <w:spacing w:after="80"/>
      </w:pPr>
      <w:r>
        <w:t>Template AWS SAM valido; pagine pubbliche, manifest PWA e service worker disponibili in produzione.</w:t>
      </w:r>
    </w:p>
    <w:p>
      <w:pPr>
        <w:pStyle w:val="Heading1"/>
        <w:keepNext/>
      </w:pPr>
      <w:r>
        <w:t>3. Anomalie e impedimenti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Severita</w:t>
            </w:r>
          </w:p>
        </w:tc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Tipo</w:t>
            </w:r>
          </w:p>
        </w:tc>
        <w:tc>
          <w:tcPr>
            <w:tcW w:type="dxa" w:w="36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Descrizione e impatto</w:t>
            </w:r>
          </w:p>
        </w:tc>
        <w:tc>
          <w:tcPr>
            <w:tcW w:type="dxa" w:w="374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Azione raccomandata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Chiusa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Applicazione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Il proxy intercettava le API protette e restituiva 307 HTML. Corretto escludendo tutte le route /api dal redirect di pagina.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Regressione automatica e verifica runtime JSON 401 superate.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Alta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 test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La DATABASE_URL scaricata da Vercel e protetta da placeholder e non e risolvibile dai processi locali. Le suite che richiedono esclusivamente tale URL non possono avviarsi.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Fornire una URL pooled dedicata al ruolo smf_app nell'ambiente di collaudo locale, distinta dalla connessione owner.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BLK-002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Quiz, missioni e giochi sono verificati; mancano fixture media per bingo e contest fotografico con valutazione AI.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asset R2 sintetici e una partenza versionata con bingo e contest.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BLK-003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Integrazioni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R2/SQS/Bedrock non sono stati invocati: credenziali R2 e coda di collaudo non sono esposte localmente.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Predisporre risorse sandbox e budget massimo per test AI/documentali.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BLK-004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 tre ruoli sono stati verificati in lettura; mancano ancora scenari mutativi distruttivi completi su utenze e dati sintetici dedicati.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Preparare un tenant sintetico eliminabile per completare le mutazioni UI senza impattare dati reali.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BLK-005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Bassa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Dispositivo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PWA, modalita aereo, push e safe-area non sono verificabili senza smartphone reale.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matrice iOS Safari e Android Chrome su almeno due dispositivi.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Matrice dei comandi eseguiti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33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Comando / controllo</w:t>
            </w:r>
          </w:p>
        </w:tc>
        <w:tc>
          <w:tcPr>
            <w:tcW w:type="dxa" w:w="151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Durata / ampiezza</w:t>
            </w:r>
          </w:p>
        </w:tc>
        <w:tc>
          <w:tcPr>
            <w:tcW w:type="dxa" w:w="28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acceptance:v3:agency-overview-read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acceptance:v3:agency-owner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3.6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acceptance:v3:trip-reference-agency-deletion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acceptance:v3:write-cutover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smoke:normalized-document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Rieseguito fuori sandbox: DOCX normalizzato valido (14.340 byte).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smoke:r2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smoke:superadmin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smoke:travel-catalog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smoke:v3:agency-deletion-e2e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smoke:v3:chat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smoke:v3:consolidated-paths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4.5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smoke:v3:gamification-read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smoke:v3:identity-auth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smoke:v3:invitation-auth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smoke:v3:journey-management-read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smoke:v3:legacy-media-auth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smoke:v3:media-download-auth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smoke:v3:operational-read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smoke:v3:participant-provisioning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smoke:v3:travel-catalog-read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smoke:v3:traveler-api-auth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smoke:v3:traveler-scope-read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db:migrate:v3:web-push:dry-run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db:migrate:v3:scheduled-push:dry-run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db:migrate:v3:chat:dry-run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db:migrate:v3:minor-consent:dry-run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2.7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db:migrate:v3:photo-evidence-limit:dry-run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db:migrate:v3:photo-contest-lifecycle:dry-run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db:migrate:v3:expense-shares-grants:dry-run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db:migrate:v3:impersonation-audit:dry-run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db:migrate:v3:impersonation-revalidation:dry-run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db:migrate:v3:agency-analytics:dry-run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aws:validate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12,1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Template SAM valido; rieseguito con accesso ai metadati SAM locali.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test:plan-regressions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ripetibile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Proxy API, magic link, quiz, disruption, registro variazioni e governance fonti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smoke:v3:kpi-change-governance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6 KPI, 8 campi fonte, RLS forzata e privilegi minimi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~20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Next.js 16: compilazione, TypeScript e generazione di 43 pagine completate.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Ruolo smf_app, inserimento spesa, ripartizione esatta delle quote e idempotenza client_operation_id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evento, lettura RLS, aggregazione, attori distinti e anti-replay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gruppo e viaggiatore, riconciliazione V3, invito monouso e invisibilita dopo il consumo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mission, quiz, order game e word game con ruolo smf_app; grant quiz e rollback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db:migrate:v3:pgcrypto-digest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109 applicata: pgcrypto isolato nello schema extensions e bridge digest non invocabile direttamente dal runtime.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db:migrate:v3:photo-contest-limit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110 applicata: due foto massime nei dati, nelle attivita e nel vincolo participant_slot.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db:migrate:v3:photo-contest-gate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111 applicata: publish gate allineato al contratto di due foto; validazione V3 completa superata.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acceptance:v3:photo-contest-lifecycle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Due bozze, sostituzione, rifiuto terza foto, conferma, scoring strutturato, selezione migliore e chiusura temporale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acceptance:bedrock:photo-evaluation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 invocazioni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Nova Lite EU: missione fotografica e due foto contest valutate tramite Tool Use; 6.457 token input e 359 output.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db:migrate:v3:bingo-write-scope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112 applicata: il bingo globale e scrivibile da una giornata operativa senza ampliare lo scope tenant.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acceptance:v3:photo-evidence-attempts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Missione approvata blocca ulteriori foto; due rifiuti bingo consumano i tentativi e il terzo e negato.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pagine e PWA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6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accessibilita, manifest, service worker e redirect home conformi.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API anonime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5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Auth, Analytics, chat, spese (POST) e trip-data rispondono JSON 401; DEF-001 chiusa.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pubblico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pagine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recupero username e accessibilita caricati senza overflow nel viewport effettivo.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autenticato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ruoli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Superuser, agenzia e viaggiatore verificati in produzione; Analytics, programma, documenti, finanza, sfide, informazioni e frasario accessibili.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Quiz pubblicati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11 giornate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10 domande approvate per giornata e sblocco runtime verificato dopo consolidamento del resolver identita.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keepNext/>
      </w:pPr>
      <w:r>
        <w:t>5. Matrice completa dei 107 casi d'uso</w:t>
      </w:r>
    </w:p>
    <w:p>
      <w:r>
        <w:t>Ogni caso e stato valutato. Gli esiti parziali e bloccati indicano precisamente quale evidenza manca; non sono stati trasformati artificialmente in esiti positivi.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403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Caso d'uso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72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 / limite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con username e password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Invito personale e attivazione account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Recupero password per username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Logout, rinnovo e blocco delle sessioni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Controllo disponibilità username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Login come utente per assistenza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agenzia e primo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dati agenzia e contatti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Branding white-label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Sospensione e riattivazione 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Sostituzione del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asincrona dell’agenzia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agenzia e catalogo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 agenzia-gruppo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chat operativo superato con isolamento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viaggio da preventivo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Elaborazione asincrona OCR e AI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Interpretazione del programma e dati commerciali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Revisione umana della bozza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Salvataggio e ripresa della revisione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Pubblicazione controllata del programma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Cataloghi condivisi di paesi, città, siti e hotel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informazioni utili per paese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frasario locale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quiz, missioni, bingo, giochi e contest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preventivo originale e normalizzato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del programma pubblicato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variazioni operative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cancellazione viaggio/agenzia e vincoli referenziali superata.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ed eliminazione gruppi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Inserimento e invito viaggiatore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Provisioning gruppo e viaggiatore superato transazionalmente.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Rimozione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Assegnazione e cessione capogruppo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Partecipazione individuale ai giochi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Privacy e consenso immagini per minori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di viaggio per giornata e 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e consultazione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documenti da parte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Biglietti collegati alle attività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navigazione mobile del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giornaliero ordinato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Mappa operativa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 utili e orologi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Frasario di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Meteo e contesto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 e duty of care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Registrazione spesa di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Totale speso in euro e totali per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Prelievi e cambi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spese, prelievi e cambi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Pareggio conti del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Inserimenti finanziari offline e sincronizzazione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Backend finanziario verificato; offline-online browser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Missioni giornaliere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Massimo due tentativi per missione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Bingo in stile tombola napoletana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Punteggi ambo, terno, quaterna, cinquina e tombola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Quiz giornalieri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Giochi semplici a tema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Contest fotografico: selezione e conferma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Valutazione AI e scelta della foto migliore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Chiusura contest e classifiche temporali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Classifiche e profilo Sfide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Ricordi e diario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Album finale PDF e condivisione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dati o sessione autenticata esterna non disponibili nell'ambiente di collaudo.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Feedback sul programma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Consultazione offline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Aggiornamento della PWA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Notifiche push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Promemoria programmati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Accessibilità e preferenze inclusive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Pagina di login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Attivazione e recupero account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agenzie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Elenco utenti e login-come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Dashboard agenzia ed elenco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Import e revisione preventivo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pubblicato modificabile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Gruppi e viaggiatori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del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programma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Informazioni, frasi, documenti e SOS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Spese e cassa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Sfide e classifiche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PWA, installazione e accessibilità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rapido da invito personale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Governance dei contenuti paese sensibili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Registro variazioni e presa visione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Definizioni, formule e freschezza dei KPI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Aprire la dashboard Analytics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periodo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partenza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il funnel di adozione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una consultazione programma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l'uso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richieste di assistenza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engagement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Analizzare feedback per tappa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Gestire assenza di dati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isolamento tenant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resilienza tracking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idempotenza e anti-replay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accessibilita e responsive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</w:tbl>
    <w:p>
      <w:pPr>
        <w:spacing w:after="40"/>
      </w:pPr>
    </w:p>
    <w:p>
      <w:pPr>
        <w:sectPr>
          <w:pgSz w:w="15840" w:h="12240" w:orient="landscape"/>
          <w:pgMar w:top="936" w:right="720" w:bottom="936" w:left="720" w:header="432" w:footer="432" w:gutter="0"/>
          <w:cols w:space="720"/>
          <w:docGrid w:linePitch="360"/>
        </w:sectPr>
      </w:pPr>
    </w:p>
    <w:p>
      <w:pPr>
        <w:pStyle w:val="Heading1"/>
        <w:keepNext/>
      </w:pPr>
      <w:r>
        <w:t>6. Piano di completamento del collaudo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Priorita</w:t>
            </w:r>
          </w:p>
        </w:tc>
        <w:tc>
          <w:tcPr>
            <w:tcW w:type="dxa" w:w="792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Attivita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 corretto; test automatico e runtime JSON 401 superati.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P0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Configurare DATABASE_URL_TEST con ruolo smf_app e rieseguire le suite che richiedono una connessione runtime locale.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fixture sintetiche stabili per gamification, documenti, viaggio pubblicato e due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Eseguiti i percorsi autenticati in lettura per superuser, responsabile/agente e viaggiatore.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flusso R2-SQS-Bedrock su risorse sandbox con verifica record Neon e cost cap.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P2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collaudo fisico PWA su iOS e Android: installazione, offline, sync e push.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Conclusione</w:t>
      </w:r>
    </w:p>
    <w:p>
      <w:r>
        <w:t>La baseline tecnica e stabile e le nuove funzionalita risultano integrate senza regressioni di build o schema. Il prodotto non puo tuttavia essere dichiarato collaudato al 100% sui 107 casi finche non vengono forniti ruolo DB runtime locale, fixture controllate, scenari mutativi sintetici e dispositivi mobili reali. L'unico difetto applicativo riproducibile emerso in questa esecuzione, DEF-001, e stato corretto e ritestato.</w:t>
      </w:r>
    </w:p>
    <w:sectPr w:rsidR="00FC693F" w:rsidRPr="0006063C" w:rsidSect="00034616">
      <w:type w:val="continuous"/>
      <w:pgSz w:w="12240" w:h="15840" w:orient="landscape"/>
      <w:pgMar w:top="1440" w:right="1440" w:bottom="1440" w:left="144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- 30 agosto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E6B73"/>
        <w:sz w:val="18"/>
      </w:rPr>
      <w:t>SMF Travel | Rapporto di collaudo completo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 w:val="0"/>
      <w:color w:val="12313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Rapporto completo di esecuzione dei test</dc:title>
  <dc:subject>Esiti, anomalie, blocchi e copertura dei 107 casi d'uso</dc:subject>
  <dc:creator>SMF Travel Quality Engineering</dc:creator>
  <cp:keywords>SMF Travel, test, casi d'uso, collaudo, Analytics, PWA, Neon, Vercel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