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p>
      <w:r>
        <w:br w:type="page"/>
      </w:r>
    </w:p>
    <w:p>
      <w:pPr>
        <w:pStyle w:val="Heading1"/>
      </w:pPr>
      <w:r>
        <w:t>Addendum di riesecuzione - 2 settembre 2026</w:t>
      </w:r>
    </w:p>
    <w:p>
      <w:pPr>
        <w:spacing w:after="200"/>
      </w:pPr>
      <w:r>
        <w:rPr>
          <w:rFonts w:ascii="Calibri" w:hAnsi="Calibri"/>
          <w:b w:val="0"/>
          <w:color w:val="102A35"/>
          <w:sz w:val="20"/>
        </w:rPr>
        <w:t>La presente sezione registra una nuova riesecuzione tecnica del collaudo. Non sostituisce le evidenze manuali già raccolte: distingue i controlli nuovamente superati da quelli che richiedono il ripristino dell'ambiente locale.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1500"/>
        <w:gridCol w:w="5160"/>
      </w:tblGrid>
      <w:tr>
        <w:tc>
          <w:tcPr>
            <w:tcW w:type="dxa" w:w="27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5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51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Quality guard e TypeScript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Baseline, 114 migrazioni e 24 confini runtime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Build Next.js 16.3.2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Compilazione, TypeScript e generazione di 43 pagine completate.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Schema Neon V3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78 tabelle, 61 con RLS; nessun vincolo o indice invalido.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Flussi Neon transazionali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Profili Paese, gruppi, inviti, analytics, engagement, foto e write cutover.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offline e sync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Installabilità, cache privata, documenti offline e idempotenza finanziaria.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Push e pianificazione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Contratti client/service worker e invio pianificato verificati.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Qualità deterministica import</w:t>
            </w:r>
          </w:p>
        </w:tc>
        <w:tc>
          <w:tcPr>
            <w:tcW w:type="dxa" w:w="150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Rilevate tutte le otto classi di anomalia attese.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Invocazioni Bedrock reali</w:t>
            </w:r>
          </w:p>
        </w:tc>
        <w:tc>
          <w:tcPr>
            <w:tcW w:type="dxa" w:w="1500"/>
            <w:shd w:fill="FFF4D6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8A5A00"/>
                <w:sz w:val="16"/>
              </w:rPr>
              <w:t>DA RIESEGUIRE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Sessione AWS locale scaduta; nessuna chiamata AI completata in questa sessione.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Autorizzazione ruolo DB runtime</w:t>
            </w:r>
          </w:p>
        </w:tc>
        <w:tc>
          <w:tcPr>
            <w:tcW w:type="dxa" w:w="1500"/>
            <w:shd w:fill="FFF4D6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8A5A00"/>
                <w:sz w:val="16"/>
              </w:rPr>
              <w:t>DA RIESEGUIRE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Manca una DATABASE_URL locale valida per il ruolo applicativo ridotto.</w:t>
            </w:r>
          </w:p>
        </w:tc>
      </w:tr>
      <w:tr>
        <w:tc>
          <w:tcPr>
            <w:tcW w:type="dxa" w:w="27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Browser autenticato</w:t>
            </w:r>
          </w:p>
        </w:tc>
        <w:tc>
          <w:tcPr>
            <w:tcW w:type="dxa" w:w="1500"/>
            <w:shd w:fill="FFF4D6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8A5A00"/>
                <w:sz w:val="16"/>
              </w:rPr>
              <w:t>DA RIESEGUIRE</w:t>
            </w:r>
          </w:p>
        </w:tc>
        <w:tc>
          <w:tcPr>
            <w:tcW w:type="dxa" w:w="51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6"/>
              </w:rPr>
              <w:t>Le sessioni disponibili sono ferme al login; richiesta una sessione autenticata per i ruoli principali.</w:t>
            </w:r>
          </w:p>
        </w:tc>
      </w:tr>
    </w:tbl>
    <w:p>
      <w:pPr>
        <w:pStyle w:val="Heading2"/>
      </w:pPr>
      <w:r>
        <w:t>Anomalie corrette durante la riesecuzione</w:t>
      </w:r>
    </w:p>
    <w:p>
      <w:pPr>
        <w:pStyle w:val="ListBullet"/>
        <w:spacing w:after="60"/>
      </w:pPr>
      <w:r>
        <w:t>Il validatore dello schema ammette ora il totale corrente di 78 tabelle, mantenendo invariati gli altri gate.</w:t>
      </w:r>
    </w:p>
    <w:p>
      <w:pPr>
        <w:pStyle w:val="ListBullet"/>
        <w:spacing w:after="60"/>
      </w:pPr>
      <w:r>
        <w:t>La fixture del quiz usa date relative al giorno di esecuzione e non produce più falsi errori dopo il 1 settembre 2026.</w:t>
      </w:r>
    </w:p>
    <w:p>
      <w:pPr>
        <w:pStyle w:val="Heading2"/>
      </w:pPr>
      <w:r>
        <w:t>Valutazione corrente</w:t>
      </w:r>
    </w:p>
    <w:p>
      <w:r>
        <w:t>La build e i controlli automatizzati disponibili sono verdi. Il punto 1 del piano resta aperto finché non vengono rieseguiti Bedrock, il ruolo database runtime e i percorsi browser autenticati. Questi elementi sono classificati come verifiche pendenti di ambiente, non come difetti applicativi confermati.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1.3 | 2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