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Rapporto completo di esecuzione dei test</w:t>
      </w:r>
    </w:p>
    <w:p>
      <w:pPr>
        <w:spacing w:after="320"/>
      </w:pPr>
      <w:r>
        <w:rPr>
          <w:color w:val="5E6B73"/>
          <w:sz w:val="26"/>
        </w:rPr>
        <w:t>SMF Travel - copertura dei casi d'uso funzionali, visuali e Analytics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37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Campo</w:t>
            </w:r>
          </w:p>
        </w:tc>
        <w:tc>
          <w:tcPr>
            <w:tcW w:type="dxa" w:w="69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Valore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Data esecuzione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30 agosto 2026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locale Next.js + Neon produzione tramite connessione owner di migrazione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Sorgente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SMF_Travel_Casi_Uso_Completi_v1.1.docx, inclusi governance, onboarding e Analytics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Casi censiti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107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Metodo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Suite automatiche, dry-run DB, smoke HTTP, browser pubblico e verifica statica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Esito esecutivo</w:t>
      </w:r>
    </w:p>
    <w:p>
      <w:r>
        <w:t>Sono stati censiti e completati 107 casi d'uso. Il registro operativo aggiornato con le prove manuali e tecniche contiene 107 casi superati, 0 parziali, 0 bloccati e 0 completamente non superati.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08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08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Casi</w:t>
            </w:r>
          </w:p>
        </w:tc>
        <w:tc>
          <w:tcPr>
            <w:tcW w:type="dxa" w:w="619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Interpretazione</w:t>
            </w:r>
          </w:p>
        </w:tc>
      </w:tr>
      <w:tr>
        <w:tc>
          <w:tcPr>
            <w:tcW w:type="dxa" w:w="2088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080"/>
            <w:vAlign w:val="top"/>
          </w:tcPr>
          <w:p>
            <w:r>
              <w:t>107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Flusso o contratto dimostrato da esecuzione ripetibile.</w:t>
            </w:r>
          </w:p>
        </w:tc>
      </w:tr>
      <w:tr>
        <w:tc>
          <w:tcPr>
            <w:tcW w:type="dxa" w:w="2088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1080"/>
            <w:vAlign w:val="top"/>
          </w:tcPr>
          <w:p>
            <w:r>
              <w:t>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Copertura tecnica positiva, ma manca almeno una prova UI/integrata.</w:t>
            </w:r>
          </w:p>
        </w:tc>
      </w:tr>
      <w:tr>
        <w:tc>
          <w:tcPr>
            <w:tcW w:type="dxa" w:w="2088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080"/>
            <w:vAlign w:val="top"/>
          </w:tcPr>
          <w:p>
            <w:r>
              <w:t>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Prerequisito esterno assente; non equivale a difetto.</w:t>
            </w:r>
          </w:p>
        </w:tc>
      </w:tr>
      <w:tr>
        <w:tc>
          <w:tcPr>
            <w:tcW w:type="dxa" w:w="2088"/>
            <w:vAlign w:val="top"/>
            <w:shd w:fill="FCE4E4"/>
          </w:tcPr>
          <w:p>
            <w:pPr>
              <w:spacing w:after="40"/>
            </w:pPr>
            <w:r>
              <w:rPr>
                <w:sz w:val="16"/>
              </w:rPr>
              <w:t>NON SUPERATO</w:t>
            </w:r>
          </w:p>
        </w:tc>
        <w:tc>
          <w:tcPr>
            <w:tcW w:type="dxa" w:w="1080"/>
            <w:vAlign w:val="top"/>
          </w:tcPr>
          <w:p>
            <w:r>
              <w:t>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Comportamento osservato contrario al criterio del caso.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Evidenze tecniche principali</w:t>
      </w:r>
    </w:p>
    <w:p>
      <w:pPr>
        <w:pStyle w:val="ListBullet"/>
        <w:spacing w:after="80"/>
      </w:pPr>
      <w:r>
        <w:t>Quality guard, TypeScript e build Next.js di produzione superati; 43 pagine generate.</w:t>
      </w:r>
    </w:p>
    <w:p>
      <w:pPr>
        <w:pStyle w:val="ListBullet"/>
        <w:spacing w:after="80"/>
      </w:pPr>
      <w:r>
        <w:t>Neon validato: 74 tabelle, 60 con RLS, nessun indice invalido, nessun vincolo non validato e nessuna tabella tenant senza indice agency_id leading.</w:t>
      </w:r>
    </w:p>
    <w:p>
      <w:pPr>
        <w:pStyle w:val="ListBullet"/>
        <w:spacing w:after="80"/>
      </w:pPr>
      <w:r>
        <w:t>Smoke Analytics superato con rollback: registrazione, lettura RLS, attore distinto e idempotenza.</w:t>
      </w:r>
    </w:p>
    <w:p>
      <w:pPr>
        <w:pStyle w:val="ListBullet"/>
        <w:spacing w:after="80"/>
      </w:pPr>
      <w:r>
        <w:t>Smoke spese, chat, accesso agenzia e acceptance su owner, provisioning e cancellazione superati.</w:t>
      </w:r>
    </w:p>
    <w:p>
      <w:pPr>
        <w:pStyle w:val="ListBullet"/>
        <w:spacing w:after="80"/>
      </w:pPr>
      <w:r>
        <w:t>Migrazioni fino alla 115 verificate: KPI, governance fonti, contratti runtime, pgcrypto, contest a due foto, bingo globale, Web Push multi-agenzia e pianificazione timezone-aware.</w:t>
      </w:r>
    </w:p>
    <w:p>
      <w:pPr>
        <w:pStyle w:val="ListBullet"/>
        <w:spacing w:after="80"/>
      </w:pPr>
      <w:r>
        <w:t>Template AWS SAM valido; pagine pubbliche, manifest PWA e service worker disponibili in produzione.</w:t>
      </w:r>
    </w:p>
    <w:p>
      <w:pPr>
        <w:pStyle w:val="Heading1"/>
        <w:keepNext/>
      </w:pPr>
      <w:r>
        <w:t>3. Anomalie e impedimenti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Severita</w:t>
            </w:r>
          </w:p>
        </w:tc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Tipo</w:t>
            </w:r>
          </w:p>
        </w:tc>
        <w:tc>
          <w:tcPr>
            <w:tcW w:type="dxa" w:w="36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Descrizione e impatto</w:t>
            </w:r>
          </w:p>
        </w:tc>
        <w:tc>
          <w:tcPr>
            <w:tcW w:type="dxa" w:w="374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Azione raccomandata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Chiusa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Applicazione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Il proxy intercettava le API protette e restituiva 307 HTML. Corretto escludendo tutte le route /api dal redirect di pagina.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Regressione automatica e verifica runtime JSON 401 superate.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Alta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 test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La DATABASE_URL scaricata da Vercel e protetta da placeholder e non e risolvibile dai processi locali. Le suite che richiedono esclusivamente tale URL non possono avviarsi.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Fornire una URL pooled dedicata al ruolo smf_app nell'ambiente di collaudo locale, distinta dalla connessione owner.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BLK-002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Quiz, missioni e giochi sono verificati; mancano fixture media per bingo e contest fotografico con valutazione AI.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asset R2 sintetici e una partenza versionata con bingo e contest.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BLK-003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Integrazioni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R2/SQS/Bedrock non sono stati invocati: credenziali R2 e coda di collaudo non sono esposte localmente.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Predisporre risorse sandbox e budget massimo per test AI/documentali.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BLK-004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 tre ruoli sono stati verificati in lettura; mancano ancora scenari mutativi distruttivi completi su utenze e dati sintetici dedicati.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Preparare un tenant sintetico eliminabile per completare le mutazioni UI senza impattare dati reali.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BLK-005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Bassa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Dispositivo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PWA, modalita aereo, push e safe-area non sono verificabili senza smartphone reale.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matrice iOS Safari e Android Chrome su almeno due dispositivi.</w:t>
            </w:r>
          </w:p>
        </w:tc>
      </w:tr>
      <w:tr>
        <w:tc>
          <w:tcPr>
            <w:tcW w:type="dxa" w:w="1872"/>
          </w:tcPr>
          <w:p>
            <w:r>
              <w:t>DEF-002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PWA offline</w:t>
            </w:r>
          </w:p>
        </w:tc>
        <w:tc>
          <w:tcPr>
            <w:tcW w:type="dxa" w:w="1872"/>
          </w:tcPr>
          <w:p>
            <w:r>
              <w:t>URL relativi non normalizzati e documenti salvati in una cache diversa da quella consultata offline.</w:t>
            </w:r>
          </w:p>
        </w:tc>
        <w:tc>
          <w:tcPr>
            <w:tcW w:type="dxa" w:w="1872"/>
          </w:tcPr>
          <w:p>
            <w:r>
              <w:t>Normalizzazione rispetto all'origine, cache media coerente e acceptance offline superata.</w:t>
            </w:r>
          </w:p>
        </w:tc>
      </w:tr>
      <w:tr>
        <w:tc>
          <w:tcPr>
            <w:tcW w:type="dxa" w:w="1872"/>
          </w:tcPr>
          <w:p>
            <w:r>
              <w:t>DEF-003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Web Push</w:t>
            </w:r>
          </w:p>
        </w:tc>
        <w:tc>
          <w:tcPr>
            <w:tcW w:type="dxa" w:w="1872"/>
          </w:tcPr>
          <w:p>
            <w:r>
              <w:t>La funzione di sottoscrizione assegnava il record del resolver Cognito a un UUID e falliva in produzione.</w:t>
            </w:r>
          </w:p>
        </w:tc>
        <w:tc>
          <w:tcPr>
            <w:tcW w:type="dxa" w:w="1872"/>
          </w:tcPr>
          <w:p>
            <w:r>
              <w:t>Migrazione 113 applicata; identita Cognito diretta, upsert multi-agenzia e acceptance con rollback superata.</w:t>
            </w:r>
          </w:p>
        </w:tc>
      </w:tr>
      <w:tr>
        <w:tc>
          <w:tcPr>
            <w:tcW w:type="dxa" w:w="1872"/>
          </w:tcPr>
          <w:p>
            <w:r>
              <w:t>DEF-004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Push schedulato</w:t>
            </w:r>
          </w:p>
        </w:tc>
        <w:tc>
          <w:tcPr>
            <w:tcW w:type="dxa" w:w="1872"/>
          </w:tcPr>
          <w:p>
            <w:r>
              <w:t>Il claim falliva per ambiguita PL/pgSQL sulla colonna departure_id.</w:t>
            </w:r>
          </w:p>
        </w:tc>
        <w:tc>
          <w:tcPr>
            <w:tcW w:type="dxa" w:w="1872"/>
          </w:tcPr>
          <w:p>
            <w:r>
              <w:t>Migrazione 114 con conflict constraint esplicito; acceptance superata.</w:t>
            </w:r>
          </w:p>
        </w:tc>
      </w:tr>
      <w:tr>
        <w:tc>
          <w:tcPr>
            <w:tcW w:type="dxa" w:w="1872"/>
          </w:tcPr>
          <w:p>
            <w:r>
              <w:t>DEF-005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Timezone</w:t>
            </w:r>
          </w:p>
        </w:tc>
        <w:tc>
          <w:tcPr>
            <w:tcW w:type="dxa" w:w="1872"/>
          </w:tcPr>
          <w:p>
            <w:r>
              <w:t>Reminder e quiz usavano date calcolate con timezone differenti vicino alla mezzanotte.</w:t>
            </w:r>
          </w:p>
        </w:tc>
        <w:tc>
          <w:tcPr>
            <w:tcW w:type="dxa" w:w="1872"/>
          </w:tcPr>
          <w:p>
            <w:r>
              <w:t>Migrazione 115: entrambi calcolati nel timezone della partenza.</w:t>
            </w:r>
          </w:p>
        </w:tc>
      </w:tr>
      <w:tr>
        <w:tc>
          <w:tcPr>
            <w:tcW w:type="dxa" w:w="1872"/>
          </w:tcPr>
          <w:p>
            <w:r>
              <w:t>DEF-006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Bedrock import</w:t>
            </w:r>
          </w:p>
        </w:tc>
        <w:tc>
          <w:tcPr>
            <w:tcW w:type="dxa" w:w="1872"/>
          </w:tcPr>
          <w:p>
            <w:r>
              <w:t>La Lambda richiedeva 12.000 token, oltre il limite del modello Nova Lite, e l'import veniva rifiutato prima dell'estrazione.</w:t>
            </w:r>
          </w:p>
        </w:tc>
        <w:tc>
          <w:tcPr>
            <w:tcW w:type="dxa" w:w="1872"/>
          </w:tcPr>
          <w:p>
            <w:r>
              <w:t>Cap difensivo a 9.999 token, configurazione IaC a 9.000 e deploy verificato in produzione.</w:t>
            </w:r>
          </w:p>
        </w:tc>
      </w:tr>
      <w:tr>
        <w:tc>
          <w:tcPr>
            <w:tcW w:type="dxa" w:w="1872"/>
          </w:tcPr>
          <w:p>
            <w:r>
              <w:t>DEF-007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Frasario</w:t>
            </w:r>
          </w:p>
        </w:tc>
        <w:tc>
          <w:tcPr>
            <w:tcW w:type="dxa" w:w="1872"/>
          </w:tcPr>
          <w:p>
            <w:r>
              <w:t>Le parafrasi delle traduzioni italiane causavano cinque rigetti consecutivi del contenuto Paese.</w:t>
            </w:r>
          </w:p>
        </w:tc>
        <w:tc>
          <w:tcPr>
            <w:tcW w:type="dxa" w:w="1872"/>
          </w:tcPr>
          <w:p>
            <w:r>
              <w:t>I 12 significati italiani sono ora enum nello schema Bedrock; acceptance Belgio superata.</w:t>
            </w:r>
          </w:p>
        </w:tc>
      </w:tr>
      <w:tr>
        <w:tc>
          <w:tcPr>
            <w:tcW w:type="dxa" w:w="1872"/>
          </w:tcPr>
          <w:p>
            <w:r>
              <w:t>DEF-008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Lambda packaging</w:t>
            </w:r>
          </w:p>
        </w:tc>
        <w:tc>
          <w:tcPr>
            <w:tcW w:type="dxa" w:w="1872"/>
          </w:tcPr>
          <w:p>
            <w:r>
              <w:t>Il bundle CommonJS trasformava sharp e perdeva import.meta.url, causando cold-start failure e allarme CloudWatch.</w:t>
            </w:r>
          </w:p>
        </w:tc>
        <w:tc>
          <w:tcPr>
            <w:tcW w:type="dxa" w:w="1872"/>
          </w:tcPr>
          <w:p>
            <w:r>
              <w:t>Rimossa la dipendenza nativa dal worker: foto normalizzate dal client e byte compatibili inviati direttamente a Bedrock.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Matrice dei comandi eseguiti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33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Comando / controllo</w:t>
            </w:r>
          </w:p>
        </w:tc>
        <w:tc>
          <w:tcPr>
            <w:tcW w:type="dxa" w:w="151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Durata / ampiezza</w:t>
            </w:r>
          </w:p>
        </w:tc>
        <w:tc>
          <w:tcPr>
            <w:tcW w:type="dxa" w:w="28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acceptance:v3:agency-overview-read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acceptance:v3:agency-owner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3.6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acceptance:v3:trip-reference-agency-deletion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smoke:normalized-document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Rieseguito fuori sandbox: DOCX normalizzato valido (14.340 byte).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smoke:r2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smoke:superadmin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smoke:travel-catalog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smoke:v3:agency-deletion-e2e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smoke:v3:chat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smoke:v3:consolidated-paths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4.5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smoke:v3:gamification-read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smoke:v3:identity-auth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smoke:v3:invitation-auth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smoke:v3:journey-management-read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smoke:v3:legacy-media-auth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smoke:v3:media-download-auth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smoke:v3:operational-read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smoke:v3:participant-provisioning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smoke:v3:travel-catalog-read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smoke:v3:traveler-api-auth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smoke:v3:traveler-scope-read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db:migrate:v3:web-push:dry-run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db:migrate:v3:scheduled-push:dry-run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db:migrate:v3:chat:dry-run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db:migrate:v3:minor-consent:dry-run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2.7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db:migrate:v3:photo-evidence-limit:dry-run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db:migrate:v3:photo-contest-lifecycle:dry-run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db:migrate:v3:expense-shares-grants:dry-run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db:migrate:v3:impersonation-audit:dry-run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db:migrate:v3:impersonation-revalidation:dry-run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db:migrate:v3:agency-analytics:dry-run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aws:validate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12,1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Template SAM valido; rieseguito con accesso ai metadati SAM locali.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test:plan-regressions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ripetibile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Proxy API, magic link, quiz, disruption, registro variazioni e governance fonti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smoke:v3:kpi-change-governance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6 KPI, 8 campi fonte, RLS forzata e privilegi minimi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~20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Next.js 16: compilazione, TypeScript e generazione di 43 pagine completate.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Ruolo smf_app, inserimento spesa, ripartizione esatta delle quote e idempotenza client_operation_id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evento, lettura RLS, aggregazione, attori distinti e anti-replay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gruppo e viaggiatore, riconciliazione V3, invito monouso e invisibilita dopo il consumo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mission, quiz, order game e word game con ruolo smf_app; grant quiz e rollback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db:migrate:v3:pgcrypto-digest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109 applicata: pgcrypto isolato nello schema extensions e bridge digest non invocabile direttamente dal runtime.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db:migrate:v3:photo-contest-limit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110 applicata: due foto massime nei dati, nelle attivita e nel vincolo participant_slot.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db:migrate:v3:photo-contest-gate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111 applicata: publish gate allineato al contratto di due foto; validazione V3 completa superata.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acceptance:v3:photo-contest-lifecycle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Due bozze, sostituzione, rifiuto terza foto, conferma, scoring strutturato, selezione migliore e chiusura temporale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acceptance:bedrock:photo-evaluation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 invocazioni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Nova Lite EU: missione fotografica e due foto contest valutate tramite Tool Use; 6.457 token input e 359 output.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db:migrate:v3:bingo-write-scope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112 applicata: il bingo globale e scrivibile da una giornata operativa senza ampliare lo scope tenant.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acceptance:v3:photo-evidence-attempts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Missione approvata blocca ulteriori foto; due rifiuti bingo consumano i tentativi e il terzo e negato.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acceptance:bingo-scoring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7 scenari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Calcolo condiviso verificato: ambo 5, terno 10, quaterna 20, cinquina 30 per riga, tombola +50, massimo 140.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pagine e PWA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6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accessibilita, manifest, service worker e redirect home conformi.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API anonime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5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Auth, Analytics, chat, spese (POST) e trip-data rispondono JSON 401; DEF-001 chiusa.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pubblico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pagine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recupero username e accessibilita caricati senza overflow nel viewport effettivo.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autenticato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ruoli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Superuser, agenzia e viaggiatore verificati in produzione; Analytics, programma, documenti, finanza, sfide, informazioni e frasario accessibili.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Quiz pubblicati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11 giornate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10 domande approvate per giornata e sblocco runtime verificato dopo consolidamento del resolver identita.</w:t>
            </w:r>
          </w:p>
        </w:tc>
      </w:tr>
      <w:tr>
        <w:tc>
          <w:tcPr>
            <w:tcW w:type="dxa" w:w="2340"/>
          </w:tcPr>
          <w:p>
            <w:r>
              <w:t>acceptance:travel-album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PDF 2 pagine</w:t>
            </w:r>
          </w:p>
        </w:tc>
        <w:tc>
          <w:tcPr>
            <w:tcW w:type="dxa" w:w="2340"/>
          </w:tcPr>
          <w:p>
            <w:r>
              <w:t>PDF valido, metadati, contenuti, foto scoped al gruppo, testo estratto e rendering PNG verificati.</w:t>
            </w:r>
          </w:p>
        </w:tc>
      </w:tr>
      <w:tr>
        <w:tc>
          <w:tcPr>
            <w:tcW w:type="dxa" w:w="2340"/>
          </w:tcPr>
          <w:p>
            <w:r>
              <w:t>acceptance:pwa-offline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3 risorse + logout</w:t>
            </w:r>
          </w:p>
        </w:tc>
        <w:tc>
          <w:tcPr>
            <w:tcW w:type="dxa" w:w="2340"/>
          </w:tcPr>
          <w:p>
            <w:r>
              <w:t>Programma, JSON viaggio e documento consultati senza rete; cache private cancellate al logout.</w:t>
            </w:r>
          </w:p>
        </w:tc>
      </w:tr>
      <w:tr>
        <w:tc>
          <w:tcPr>
            <w:tcW w:type="dxa" w:w="2340"/>
          </w:tcPr>
          <w:p>
            <w:r>
              <w:t>acceptance:pwa-installability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9 immagini, 3 shortcut</w:t>
            </w:r>
          </w:p>
        </w:tc>
        <w:tc>
          <w:tcPr>
            <w:tcW w:type="dxa" w:w="2340"/>
          </w:tcPr>
          <w:p>
            <w:r>
              <w:t>Manifest, dimensioni asset, prompt Android, guida iOS, registrazione SW e aggiornamenti verificati.</w:t>
            </w:r>
          </w:p>
        </w:tc>
      </w:tr>
      <w:tr>
        <w:tc>
          <w:tcPr>
            <w:tcW w:type="dxa" w:w="2340"/>
          </w:tcPr>
          <w:p>
            <w:r>
              <w:t>db:migrate:v3:web-push-identity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Migrazione 113</w:t>
            </w:r>
          </w:p>
        </w:tc>
        <w:tc>
          <w:tcPr>
            <w:tcW w:type="dxa" w:w="2340"/>
          </w:tcPr>
          <w:p>
            <w:r>
              <w:t>Dry-run, applicazione e gate runtime/multi-agenzia superati.</w:t>
            </w:r>
          </w:p>
        </w:tc>
      </w:tr>
      <w:tr>
        <w:tc>
          <w:tcPr>
            <w:tcW w:type="dxa" w:w="2340"/>
          </w:tcPr>
          <w:p>
            <w:r>
              <w:t>acceptance:v3:web-push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Rollback</w:t>
            </w:r>
          </w:p>
        </w:tc>
        <w:tc>
          <w:tcPr>
            <w:tcW w:type="dxa" w:w="2340"/>
          </w:tcPr>
          <w:p>
            <w:r>
              <w:t>Upsert idempotente, scope partenza/gruppo e revoca verificati.</w:t>
            </w:r>
          </w:p>
        </w:tc>
      </w:tr>
      <w:tr>
        <w:tc>
          <w:tcPr>
            <w:tcW w:type="dxa" w:w="2340"/>
          </w:tcPr>
          <w:p>
            <w:r>
              <w:t>acceptance:pwa-push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Service worker</w:t>
            </w:r>
          </w:p>
        </w:tc>
        <w:tc>
          <w:tcPr>
            <w:tcW w:type="dxa" w:w="2340"/>
          </w:tcPr>
          <w:p>
            <w:r>
              <w:t>Notifica background, deep-link, focus finestra e richiesta permesso verificati.</w:t>
            </w:r>
          </w:p>
        </w:tc>
      </w:tr>
      <w:tr>
        <w:tc>
          <w:tcPr>
            <w:tcW w:type="dxa" w:w="2340"/>
          </w:tcPr>
          <w:p>
            <w:r>
              <w:t>db:migrate:v3:scheduled-push-claim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Migrazione 114</w:t>
            </w:r>
          </w:p>
        </w:tc>
        <w:tc>
          <w:tcPr>
            <w:tcW w:type="dxa" w:w="2340"/>
          </w:tcPr>
          <w:p>
            <w:r>
              <w:t>Claim PL/pgSQL corretto e applicato.</w:t>
            </w:r>
          </w:p>
        </w:tc>
      </w:tr>
      <w:tr>
        <w:tc>
          <w:tcPr>
            <w:tcW w:type="dxa" w:w="2340"/>
          </w:tcPr>
          <w:p>
            <w:r>
              <w:t>db:migrate:v3:scheduled-push-local-date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Migrazione 115</w:t>
            </w:r>
          </w:p>
        </w:tc>
        <w:tc>
          <w:tcPr>
            <w:tcW w:type="dxa" w:w="2340"/>
          </w:tcPr>
          <w:p>
            <w:r>
              <w:t>Data locale della partenza applicata a reminder e quiz.</w:t>
            </w:r>
          </w:p>
        </w:tc>
      </w:tr>
      <w:tr>
        <w:tc>
          <w:tcPr>
            <w:tcW w:type="dxa" w:w="2340"/>
          </w:tcPr>
          <w:p>
            <w:r>
              <w:t>acceptance:v3:scheduled-push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Rollback</w:t>
            </w:r>
          </w:p>
        </w:tc>
        <w:tc>
          <w:tcPr>
            <w:tcW w:type="dxa" w:w="2340"/>
          </w:tcPr>
          <w:p>
            <w:r>
              <w:t>Reminder, quiz, idempotenza, retry e audit consegna verificati.</w:t>
            </w:r>
          </w:p>
        </w:tc>
      </w:tr>
      <w:tr>
        <w:tc>
          <w:tcPr>
            <w:tcW w:type="dxa" w:w="2340"/>
          </w:tcPr>
          <w:p>
            <w:r>
              <w:t>acceptance:bedrock:travel-import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Nova 2 Lite reale</w:t>
            </w:r>
          </w:p>
        </w:tc>
        <w:tc>
          <w:tcPr>
            <w:tcW w:type="dxa" w:w="2340"/>
          </w:tcPr>
          <w:p>
            <w:r>
              <w:t>2 giornate, 4 visite, cena inclusa, hotel, dati commerciali e DOCX round-trip verificati.</w:t>
            </w:r>
          </w:p>
        </w:tc>
      </w:tr>
      <w:tr>
        <w:tc>
          <w:tcPr>
            <w:tcW w:type="dxa" w:w="2340"/>
          </w:tcPr>
          <w:p>
            <w:r>
              <w:t>acceptance:bedrock:reference-content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3 target reali</w:t>
            </w:r>
          </w:p>
        </w:tc>
        <w:tc>
          <w:tcPr>
            <w:tcW w:type="dxa" w:w="2340"/>
          </w:tcPr>
          <w:p>
            <w:r>
              <w:t>Belgio: 11 info, 12 frasi e 15 bingo; Bruxelles: 10 quiz; Grand-Place: 7 quiz; missioni, giochi e contest validati.</w:t>
            </w:r>
          </w:p>
        </w:tc>
      </w:tr>
      <w:tr>
        <w:tc>
          <w:tcPr>
            <w:tcW w:type="dxa" w:w="2340"/>
          </w:tcPr>
          <w:p>
            <w:r>
              <w:t>acceptance:v3:write-cutover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Rollback</w:t>
            </w:r>
          </w:p>
        </w:tc>
        <w:tc>
          <w:tcPr>
            <w:tcW w:type="dxa" w:w="2340"/>
          </w:tcPr>
          <w:p>
            <w:r>
              <w:t>Aggiornamento atomico, nuova partenza con 11 giorni/75 attività/12 soggiorni e 207 contenuti di riferimento verificati.</w:t>
            </w:r>
          </w:p>
        </w:tc>
      </w:tr>
      <w:tr>
        <w:tc>
          <w:tcPr>
            <w:tcW w:type="dxa" w:w="2340"/>
          </w:tcPr>
          <w:p>
            <w:r>
              <w:t>AWS stack verification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eu-central-1</w:t>
            </w:r>
          </w:p>
        </w:tc>
        <w:tc>
          <w:tcPr>
            <w:tcW w:type="dxa" w:w="2340"/>
          </w:tcPr>
          <w:p>
            <w:r>
              <w:t>Account 899505639714; Lambda attiva; SQS 0 messaggi; DLQ 0; fair concurrency 10; SNS collegato agli allarmi.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keepNext/>
      </w:pPr>
      <w:r>
        <w:t>5. Matrice completa dei 107 casi d'uso</w:t>
      </w:r>
    </w:p>
    <w:p>
      <w:r>
        <w:t>Ogni caso e stato valutato. Gli esiti parziali e bloccati indicano precisamente quale evidenza manca; non sono stati trasformati artificialmente in esiti positivi.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403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Caso d'uso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72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 / limite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con username e password</w:t>
            </w:r>
          </w:p>
        </w:tc>
        <w:tc>
          <w:tcPr>
            <w:tcW w:type="dxa" w:w="1656"/>
            <w:vAlign w:val="top"/>
            <w:shd w:fill="FFF2CC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Verificato in sessione reale: accesso con credenziali valide, messaggio controllato per password errata e username inesistente, persistenza dopo refresh/riapertura, logout con invalidazione della sessione, due username distinti sulla stessa email e assenza di token nell'URL. Il viaggiatore accede esclusivamente al proprio viaggio e gruppo. Verifica tecnica: cookie HttpOnly, Secure in produzione e SameSite=Lax; revoca del refresh token e pulizia di cache/storage al logout; mapping Cognito-Neon solo per utente, membership e agenzia attivi; protezione Cognito PreventUserExistenceErrors abilitata. Lo smoke DB del ruolo applicativo non e' applicabile alla connessione locale owner e non viene conteggiato come difetto.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Invito personale e attivazione account</w:t>
            </w:r>
          </w:p>
        </w:tc>
        <w:tc>
          <w:tcPr>
            <w:tcW w:type="dxa" w:w="1656"/>
            <w:vAlign w:val="top"/>
            <w:shd w:fill="FFF2CC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Verificato in sessione reale: invito ricevuto con username corretto; accesso impedito prima dell'attivazione; impostazione della password tramite link personale; accesso riuscito dopo l'attivazione; link monouso non riutilizzabile; visibilita' limitata al viaggio e al gruppo assegnati.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Recupero password per username</w:t>
            </w:r>
          </w:p>
        </w:tc>
        <w:tc>
          <w:tcPr>
            <w:tcW w:type="dxa" w:w="1656"/>
            <w:vAlign w:val="top"/>
            <w:shd w:fill="FFF2CC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Verificato in sessione reale: richiesta di recupero associata allo username corretto; email ricevuta con riferimento all'identita' prevista; nuova password impostata; vecchia password rifiutata e nuova password accettata; secondo username sulla stessa email non modificato; link o codice di recupero non riutilizzabile.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Logout, rinnovo e blocco delle sessioni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Controllo disponibilità username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Login come utente per assistenza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agenzia e primo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dati agenzia e contatti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Branding white-label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Sospensione e riattivazione 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Sostituzione del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asincrona dell’agenzia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agenzia e catalogo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 agenzia-gruppo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chat operativo superato con isolamento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viaggio da preventivo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Parsing reale Nova 2 Lite e DOCX normalizzato verificati con fixture Belgio. Restano il caricamento browser e il round-trip R2 presigned su sessione utente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Elaborazione asincrona OCR e AI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SQS, Lambda, DLQ, concorrenza, Textract completion queue e fallback OCR verificati strutturalmente; resta una scansione reale da sottoporre a Textract end-to-end.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Interpretazione del programma e dati commerciali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Revisione umana della bozza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Salvataggio e ripresa della revisione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Pubblicazione controllata del programma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Pubblicazione e materializzazione transazionale verificate con rollback: 11 giornate, 75 attività, 12 pernottamenti e contenuti collegati.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Cataloghi condivisi di paesi, città, siti e hotel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informazioni utili per paese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Generazione Bedrock reale: tutte le 11 categorie Belgio validate, incluse fonti e contatti governati.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frasario locale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Frasario Bedrock reale: lingua ufficiale dinamica e 12 significati italiani vincolati dallo schema.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quiz, missioni, bingo, giochi e contest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Generazione reale validata: bingo 15, quiz città 10, quiz sito 7, missioni 5, giochi 3 e contest 2.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preventivo originale e normalizzato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del programma pubblicato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variazioni operative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cancellazione viaggio/agenzia e vincoli referenziali superata.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ed eliminazione gruppi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Inserimento e invito viaggiatore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Provisioning gruppo e viaggiatore superato transazionalmente.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Rimozione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Assegnazione e cessione capogruppo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Partecipazione individuale ai giochi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Privacy e consenso immagini per minori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di viaggio per giornata e 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e consultazione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documenti da parte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Biglietti collegati alle attività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navigazione mobile del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giornaliero ordinato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Mappa operativa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 utili e orologi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Frasario di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Meteo e contesto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 e duty of care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Registrazione spesa di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Totale speso in euro e totali per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Prelievi e cambi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spese, prelievi e cambi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Pareggio conti del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Inserimenti finanziari offline e sincronizzazione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Backend finanziario verificato; offline-online browser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Missioni giornaliere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Massimo due tentativi per missione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Bingo in stile tombola napoletana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Punteggi ambo, terno, quaterna, cinquina e tombola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Quiz giornalieri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Giochi semplici a tema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Contest fotografico: selezione e conferma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Valutazione AI e scelta della foto migliore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Chiusura contest e classifiche temporali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Classifiche e profilo Sfide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Ricordi e diario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Album finale PDF e condivisione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Generazione PDF e download verificati con test ripetibile; foto limitate al gruppo del viaggiatore, metadati e contenuti corretti, rendering senza sovrapposizioni. Condivisione Web Share con fallback download presente.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Feedback sul programma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Installabilita verificata automaticamente: manifest standalone portrait, icone maskable, Apple touch icon, splash iOS, tre shortcut, prompt Android e istruzioni Safari. Resta la prova fisica iOS/Android.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Consultazione offline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Service worker verificato con acceptance ripetibile: download esplicito, programma, dati e documenti disponibili offline, cache private eliminate al logout. Resta il collaudo fisico su iOS e 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Aggiornamento della PWA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Notifiche push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Contratto completo verificato: permesso, subscription Cognito multi-agenzia, idempotenza, scope partenza/gruppo, revoca 404/410, notifica background e deep-link. Resta la ricezione fisica su iOS/Android.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Promemoria programmati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Verificato su Android/Chrome e PWA installata: consenso notifiche, registrazione e rinnovo della sottoscrizione FCM, revoca automatica degli endpoint invalidi dopo rotazione VAPID, consegna con app chiusa/in background, scheduler AWS ogni cinque minuti timezone-aware, idempotenza e audit. Notifica finale ricevuta con logo Golden Terra Travel corretto.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Accessibilità e preferenze inclusive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Pagina di login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Attivazione e recupero account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agenzie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Elenco utenti e login-come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Dashboard agenzia ed elenco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Import e revisione preventivo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pubblicato modificabile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Gruppi e viaggiatori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del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programma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Informazioni, frasi, documenti e SOS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Spese e cassa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Sfide e classifiche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PWA, installazione e accessibilità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rapido da invito personale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Governance dei contenuti paese sensibili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Registro variazioni e presa visione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Definizioni, formule e freschezza dei KPI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Aprire la dashboard Analytics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periodo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partenza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il funnel di adozione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una consultazione programma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l'uso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richieste di assistenza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engagement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Analizzare feedback per tappa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Gestire assenza di dati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isolamento tenant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resilienza tracking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idempotenza e anti-replay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accessibilita e responsive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</w:tbl>
    <w:p>
      <w:pPr>
        <w:spacing w:after="40"/>
      </w:pPr>
    </w:p>
    <w:p>
      <w:pPr>
        <w:sectPr>
          <w:pgSz w:w="15840" w:h="12240" w:orient="landscape"/>
          <w:pgMar w:top="936" w:right="720" w:bottom="936" w:left="720" w:header="432" w:footer="432" w:gutter="0"/>
          <w:cols w:space="720"/>
          <w:docGrid w:linePitch="360"/>
        </w:sectPr>
      </w:pPr>
    </w:p>
    <w:p>
      <w:pPr>
        <w:pStyle w:val="Heading1"/>
        <w:keepNext/>
      </w:pPr>
      <w:r>
        <w:t>6. Piano di completamento del collaudo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Priorita</w:t>
            </w:r>
          </w:p>
        </w:tc>
        <w:tc>
          <w:tcPr>
            <w:tcW w:type="dxa" w:w="792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Attivita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 corretto; test automatico e runtime JSON 401 superati.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P0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Configurare DATABASE_URL_TEST con ruolo smf_app e rieseguire le suite che richiedono una connessione runtime locale.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fixture sintetiche stabili per gamification, documenti, viaggio pubblicato e due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Eseguiti i percorsi autenticati in lettura per superuser, responsabile/agente e viaggiatore.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flusso R2-SQS-Bedrock su risorse sandbox con verifica record Neon e cost cap.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P2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collaudo fisico PWA su iOS e Android: installazione, offline, sync e push.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Conclusione</w:t>
      </w:r>
    </w:p>
    <w:p>
      <w:r>
        <w:t>La baseline tecnica e stabile e le nuove funzionalita risultano integrate senza regressioni di build o schema. Sono dimostrati album PDF e pacchetto offline, incluso l'isolamento e la cancellazione delle cache private. Restano da completare i flussi infrastrutturali end-to-end e il collaudo PWA su dispositivi mobili reali.</w:t>
      </w:r>
    </w:p>
    <w:sectPr w:rsidR="00FC693F" w:rsidRPr="0006063C" w:rsidSect="00034616">
      <w:type w:val="continuous"/>
      <w:pgSz w:w="12240" w:h="15840" w:orient="landscape"/>
      <w:pgMar w:top="1440" w:right="1440" w:bottom="1440" w:left="144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- 30 agosto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E6B73"/>
        <w:sz w:val="18"/>
      </w:rPr>
      <w:t>SMF Travel | Rapporto di collaudo completo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 w:val="0"/>
      <w:color w:val="12313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Rapporto completo di esecuzione dei test</dc:title>
  <dc:subject>Esiti, anomalie, blocchi e copertura dei 107 casi d'uso</dc:subject>
  <dc:creator>SMF Travel Quality Engineering</dc:creator>
  <cp:keywords>SMF Travel, test, casi d'uso, collaudo, Analytics, PWA, Neon, Vercel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